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2026-03-28</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Sprendimas paskelbtas: TAR 2025-03-28, i. k. 2025-05344</w:t>
      </w:r>
    </w:p>
    <w:p>
      <w:pPr>
        <w:jc w:val="both"/>
        <w:rPr>
          <w:rFonts w:ascii="Times New Roman" w:hAnsi="Times New Roman"/>
          <w:sz w:val="20"/>
        </w:rPr>
      </w:pPr>
    </w:p>
    <w:p>
      <w:pPr>
        <w:tabs>
          <w:tab w:val="center" w:pos="4819"/>
          <w:tab w:val="right" w:pos="9638"/>
        </w:tabs>
        <w:jc w:val="center"/>
        <w:rPr>
          <w:szCs w:val="24"/>
        </w:rPr>
      </w:pPr>
      <w:r>
        <w:rPr>
          <w:szCs w:val="24"/>
          <w:lang w:eastAsia="lt-LT"/>
        </w:rPr>
        <w:drawing>
          <wp:inline distT="0" distB="0" distL="0" distR="0">
            <wp:extent cx="647700" cy="781050"/>
            <wp:effectExtent l="0" t="0" r="0" b="0"/>
            <wp:docPr id="1" name="Paveikslėlis 1" descr="herb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57080" name="Paveikslėlis 675357080" descr="herbas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7700" cy="781050"/>
                    </a:xfrm>
                    <a:prstGeom prst="rect">
                      <a:avLst/>
                    </a:prstGeom>
                    <a:noFill/>
                    <a:ln>
                      <a:noFill/>
                    </a:ln>
                  </pic:spPr>
                </pic:pic>
              </a:graphicData>
            </a:graphic>
          </wp:inline>
        </w:drawing>
      </w:r>
    </w:p>
    <w:p>
      <w:pPr>
        <w:rPr>
          <w:sz w:val="10"/>
          <w:szCs w:val="10"/>
        </w:rPr>
      </w:pPr>
    </w:p>
    <w:p>
      <w:pPr>
        <w:jc w:val="center"/>
        <w:rPr>
          <w:b/>
          <w:caps/>
          <w:spacing w:val="40"/>
          <w:sz w:val="32"/>
          <w:szCs w:val="24"/>
        </w:rPr>
      </w:pPr>
      <w:r>
        <w:rPr>
          <w:b/>
          <w:caps/>
          <w:spacing w:val="40"/>
          <w:sz w:val="32"/>
          <w:szCs w:val="24"/>
        </w:rPr>
        <w:t>Molėtų rajono savivaldybės taryba</w:t>
      </w:r>
    </w:p>
    <w:p>
      <w:pPr>
        <w:rPr>
          <w:sz w:val="10"/>
          <w:szCs w:val="10"/>
        </w:rPr>
      </w:pPr>
    </w:p>
    <w:p>
      <w:pPr>
        <w:jc w:val="center"/>
        <w:rPr>
          <w:b/>
          <w:spacing w:val="20"/>
          <w:w w:val="110"/>
          <w:szCs w:val="24"/>
        </w:rPr>
      </w:pPr>
    </w:p>
    <w:p>
      <w:pPr>
        <w:rPr>
          <w:sz w:val="10"/>
          <w:szCs w:val="10"/>
        </w:rPr>
      </w:pPr>
    </w:p>
    <w:p>
      <w:pPr>
        <w:jc w:val="center"/>
        <w:rPr>
          <w:b/>
          <w:spacing w:val="20"/>
          <w:w w:val="110"/>
          <w:sz w:val="28"/>
          <w:szCs w:val="28"/>
        </w:rPr>
      </w:pPr>
      <w:r>
        <w:rPr>
          <w:b/>
          <w:spacing w:val="20"/>
          <w:w w:val="110"/>
          <w:sz w:val="28"/>
          <w:szCs w:val="28"/>
        </w:rPr>
        <w:t>SPRENDIMAS</w:t>
      </w:r>
    </w:p>
    <w:p>
      <w:pPr>
        <w:spacing w:line="276" w:lineRule="auto"/>
        <w:jc w:val="center"/>
        <w:rPr>
          <w:b/>
          <w:caps/>
          <w:sz w:val="16"/>
          <w:szCs w:val="16"/>
        </w:rPr>
      </w:pPr>
      <w:r>
        <w:rPr>
          <w:b/>
          <w:caps/>
          <w:sz w:val="28"/>
          <w:szCs w:val="28"/>
        </w:rPr>
        <w:t xml:space="preserve">DĖL MOLĖTŲ RAJONO SAVIVALDYBĖS CENTRALIZUOTO VAIKŲ PRIĖMIMO Į SAVIVALDYBĖS MOKYKLAS, VYKDANČIAS IKIMOKYKLINIO UGDYMO PROGRAMAS, TVARKOS APRAŠO PATVIRTINIMO </w:t>
      </w:r>
      <w:r>
        <w:rPr>
          <w:b/>
          <w:caps/>
          <w:szCs w:val="24"/>
        </w:rPr>
        <w:br/>
      </w:r>
    </w:p>
    <w:p>
      <w:pPr>
        <w:rPr>
          <w:sz w:val="10"/>
          <w:szCs w:val="10"/>
        </w:rPr>
      </w:pPr>
    </w:p>
    <w:p>
      <w:pPr>
        <w:jc w:val="center"/>
        <w:rPr>
          <w:szCs w:val="24"/>
        </w:rPr>
      </w:pPr>
      <w:r>
        <w:rPr>
          <w:szCs w:val="24"/>
        </w:rPr>
        <w:t>2025 m. kovo 27 d. Nr. B1-69</w:t>
      </w:r>
    </w:p>
    <w:p>
      <w:pPr>
        <w:jc w:val="center"/>
        <w:rPr>
          <w:szCs w:val="24"/>
        </w:rPr>
      </w:pPr>
      <w:r>
        <w:rPr>
          <w:szCs w:val="24"/>
        </w:rPr>
        <w:t>Molėtai</w:t>
      </w:r>
    </w:p>
    <w:p>
      <w:pPr>
        <w:tabs>
          <w:tab w:val="left" w:pos="1674"/>
        </w:tabs>
        <w:rPr>
          <w:szCs w:val="24"/>
        </w:rPr>
      </w:pPr>
    </w:p>
    <w:p>
      <w:pPr>
        <w:tabs>
          <w:tab w:val="left" w:pos="1674"/>
        </w:tabs>
        <w:rPr>
          <w:szCs w:val="24"/>
        </w:rPr>
      </w:pPr>
    </w:p>
    <w:p>
      <w:pPr>
        <w:pStyle w:val="PlainText"/>
        <w:rPr>
          <w:rFonts w:ascii="Times New Roman" w:eastAsia="MS Mincho" w:hAnsi="Times New Roman"/>
          <w:sz w:val="20"/>
          <w:i/>
          <w:iCs/>
        </w:rPr>
      </w:pPr>
      <w:r>
        <w:rPr>
          <w:rFonts w:ascii="Times New Roman" w:eastAsia="MS Mincho" w:hAnsi="Times New Roman"/>
          <w:sz w:val="20"/>
          <w:i/>
          <w:iCs/>
        </w:rPr>
        <w:t>Pakeistas teisės akto pavadinimas: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680"/>
          <w:tab w:val="left" w:pos="1206"/>
        </w:tabs>
        <w:spacing w:line="360" w:lineRule="auto"/>
        <w:ind w:firstLine="1247"/>
        <w:jc w:val="both"/>
        <w:rPr>
          <w:szCs w:val="24"/>
        </w:rPr>
      </w:pPr>
      <w:r>
        <w:rPr>
          <w:szCs w:val="24"/>
        </w:rPr>
        <w:t xml:space="preserve">Vadovaudamasi Lietuvos Respublikos vietos savivaldos įstatymo 6 straipsnio 5, 8 punktais, 15 straipsnio 4 dalimi, 16 straipsnio 1 dalimi, Lietuvos Respublikos švietimo įstatymo 29 straipsnio 6 dalimi, vykdydama Rekomendacijų savivaldybėms dėl centralizuoto vaikų priėmimo į švietimo įstaigų ikimokyklinio ir priešmokyklinio ugdymo grupes, patvirtintų Lietuvos Respublikos švietimo ir mokslo ministro 2003 m. birželio 25 d. įsakymu Nr. ISAK-918 „Dėl Rekomendacijų savivaldybėms dėl centralizuoto vaikų priėmimo į švietimo įstaigų ikimokyklinio ir priešmokyklinio ugdymo grupes“, 4 punktą,  </w:t>
      </w:r>
    </w:p>
    <w:p>
      <w:pPr>
        <w:tabs>
          <w:tab w:val="left" w:pos="680"/>
          <w:tab w:val="left" w:pos="1206"/>
        </w:tabs>
        <w:spacing w:line="360" w:lineRule="auto"/>
        <w:ind w:firstLine="1247"/>
        <w:jc w:val="both"/>
        <w:rPr>
          <w:szCs w:val="24"/>
        </w:rPr>
      </w:pPr>
      <w:r>
        <w:rPr>
          <w:szCs w:val="24"/>
        </w:rPr>
        <w:t>Molėtų rajono savivaldybės taryba nusprendžia:</w:t>
      </w:r>
    </w:p>
    <w:p>
      <w:pPr>
        <w:tabs>
          <w:tab w:val="left" w:pos="0"/>
          <w:tab w:val="left" w:pos="680"/>
          <w:tab w:val="left" w:pos="1134"/>
        </w:tabs>
        <w:spacing w:line="360" w:lineRule="auto"/>
        <w:ind w:firstLine="1276"/>
        <w:jc w:val="both"/>
        <w:rPr>
          <w:szCs w:val="24"/>
        </w:rPr>
      </w:pPr>
      <w:r>
        <w:rPr>
          <w:szCs w:val="24"/>
        </w:rPr>
        <w:t>1</w:t>
      </w:r>
      <w:r>
        <w:rPr>
          <w:szCs w:val="24"/>
        </w:rPr>
        <w:t>. Patvirtinti Molėtų rajono savivaldybės centralizuoto vaikų priėmimo į savivaldybės mokyklas, vykdančias ikimokyklinio ugdymo programas, tvarkos aprašą (pridedama).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680"/>
          <w:tab w:val="left" w:pos="1206"/>
          <w:tab w:val="left" w:pos="1560"/>
        </w:tabs>
        <w:spacing w:line="360" w:lineRule="auto"/>
        <w:ind w:firstLine="1247"/>
        <w:jc w:val="both"/>
        <w:rPr>
          <w:szCs w:val="24"/>
        </w:rPr>
      </w:pPr>
      <w:r>
        <w:rPr>
          <w:szCs w:val="24"/>
        </w:rPr>
        <w:t>2</w:t>
      </w:r>
      <w:r>
        <w:rPr>
          <w:szCs w:val="24"/>
        </w:rPr>
        <w:t>.</w:t>
        <w:tab/>
        <w:t>Pripažinti netekusiu galios Molėtų rajono savivaldybės tarybos 2018 m. kovo 29 d. sprendimą Nr. B1-83 „Dėl Molėtų rajono savivaldybės vaikų priėmimo į ikimokyklinio ugdymo įstaigas tvarkos aprašo patvirtinimo“ su visais papildymais ir pakeitimais.</w:t>
      </w:r>
    </w:p>
    <w:p>
      <w:pPr>
        <w:tabs>
          <w:tab w:val="left" w:pos="680"/>
          <w:tab w:val="left" w:pos="1206"/>
        </w:tabs>
        <w:spacing w:line="360" w:lineRule="auto"/>
        <w:rPr>
          <w:szCs w:val="24"/>
        </w:rPr>
      </w:pPr>
    </w:p>
    <w:p>
      <w:pPr>
        <w:tabs>
          <w:tab w:val="left" w:pos="680"/>
          <w:tab w:val="left" w:pos="1206"/>
        </w:tabs>
        <w:spacing w:line="360" w:lineRule="auto"/>
        <w:rPr>
          <w:szCs w:val="24"/>
        </w:rPr>
      </w:pPr>
    </w:p>
    <w:p>
      <w:pPr>
        <w:tabs>
          <w:tab w:val="left" w:pos="680"/>
          <w:tab w:val="left" w:pos="1206"/>
        </w:tabs>
        <w:spacing w:line="360" w:lineRule="auto"/>
        <w:rPr>
          <w:szCs w:val="24"/>
        </w:rPr>
      </w:pPr>
    </w:p>
    <w:p>
      <w:pPr>
        <w:tabs>
          <w:tab w:val="left" w:pos="7513"/>
        </w:tabs>
        <w:rPr>
          <w:szCs w:val="24"/>
        </w:rPr>
      </w:pPr>
      <w:r>
        <w:rPr>
          <w:szCs w:val="24"/>
        </w:rPr>
        <w:t>Savivaldybės meras</w:t>
        <w:tab/>
        <w:t>Saulius Jauneika</w:t>
      </w:r>
    </w:p>
    <w:p>
      <w:pPr>
        <w:tabs>
          <w:tab w:val="left" w:pos="6521"/>
        </w:tabs>
        <w:ind w:firstLine="5670"/>
        <w:rPr>
          <w:lang w:eastAsia="lt-LT"/>
        </w:rPr>
        <w:sectPr>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4" w:right="567" w:bottom="1134" w:left="1701" w:header="851" w:footer="454" w:gutter="0"/>
          <w:cols w:space="708"/>
          <w:formProt w:val="0"/>
          <w:titlePg/>
          <w:docGrid w:linePitch="360"/>
        </w:sectPr>
      </w:pPr>
    </w:p>
    <w:p>
      <w:pPr>
        <w:tabs>
          <w:tab w:val="left" w:pos="6521"/>
        </w:tabs>
        <w:ind w:firstLine="5670"/>
        <w:rPr>
          <w:lang w:eastAsia="lt-LT"/>
        </w:rPr>
      </w:pPr>
      <w:r>
        <w:rPr>
          <w:lang w:eastAsia="lt-LT"/>
        </w:rPr>
        <w:t>PATVIRTINTA</w:t>
      </w:r>
    </w:p>
    <w:p>
      <w:pPr>
        <w:tabs>
          <w:tab w:val="left" w:pos="6521"/>
        </w:tabs>
        <w:ind w:firstLine="5670"/>
        <w:rPr>
          <w:lang w:eastAsia="lt-LT"/>
        </w:rPr>
      </w:pPr>
      <w:r>
        <w:rPr>
          <w:lang w:eastAsia="lt-LT"/>
        </w:rPr>
        <w:t xml:space="preserve">Molėtų rajono savivaldybės  tarybos </w:t>
      </w:r>
    </w:p>
    <w:p>
      <w:pPr>
        <w:tabs>
          <w:tab w:val="left" w:pos="6521"/>
        </w:tabs>
        <w:ind w:firstLine="5670"/>
        <w:rPr>
          <w:lang w:eastAsia="lt-LT"/>
        </w:rPr>
      </w:pPr>
      <w:r>
        <w:rPr>
          <w:lang w:eastAsia="lt-LT"/>
        </w:rPr>
        <w:t xml:space="preserve">2025 m. kovo 27 d. sprendimu </w:t>
      </w:r>
    </w:p>
    <w:p>
      <w:pPr>
        <w:tabs>
          <w:tab w:val="left" w:pos="6521"/>
        </w:tabs>
        <w:ind w:firstLine="5670"/>
        <w:rPr>
          <w:lang w:eastAsia="lt-LT"/>
        </w:rPr>
      </w:pPr>
      <w:r>
        <w:rPr>
          <w:lang w:eastAsia="lt-LT"/>
        </w:rPr>
        <w:t>Nr. B1-69</w:t>
      </w:r>
    </w:p>
    <w:p>
      <w:pPr>
        <w:rPr>
          <w:lang w:eastAsia="lt-LT"/>
        </w:rPr>
      </w:pPr>
    </w:p>
    <w:p>
      <w:pPr>
        <w:ind w:firstLine="630"/>
        <w:jc w:val="center"/>
        <w:rPr>
          <w:b/>
          <w:bCs/>
        </w:rPr>
      </w:pPr>
    </w:p>
    <w:p>
      <w:pPr>
        <w:ind w:firstLine="630"/>
        <w:jc w:val="center"/>
        <w:rPr>
          <w:b/>
          <w:bCs/>
        </w:rPr>
      </w:pPr>
      <w:r>
        <w:rPr>
          <w:b/>
          <w:bCs/>
        </w:rPr>
        <w:t xml:space="preserve">MOLĖTŲ RAJONO SAVIVALDYBĖS CENTRALIZUOTO VAIKŲ PRIĖMIMO Į SAVIVALDYBĖS MOKYKLAS, VYKDANČIAS IKIMOKYKLINIO UGDYMO PROGRAMAS, TVARKOS APRAŠAS </w:t>
      </w:r>
    </w:p>
    <w:p>
      <w:pPr>
        <w:ind w:firstLine="630"/>
        <w:jc w:val="center"/>
        <w:rPr>
          <w:b/>
          <w:bCs/>
        </w:rPr>
      </w:pPr>
    </w:p>
    <w:p>
      <w:pPr>
        <w:ind w:firstLine="630"/>
        <w:jc w:val="center"/>
        <w:rPr>
          <w:b/>
          <w:bCs/>
        </w:rPr>
      </w:pPr>
    </w:p>
    <w:p>
      <w:pPr>
        <w:pStyle w:val="PlainText"/>
        <w:rPr>
          <w:rFonts w:ascii="Times New Roman" w:eastAsia="MS Mincho" w:hAnsi="Times New Roman"/>
          <w:sz w:val="20"/>
          <w:i/>
          <w:iCs/>
        </w:rPr>
      </w:pPr>
      <w:r>
        <w:rPr>
          <w:rFonts w:ascii="Times New Roman" w:eastAsia="MS Mincho" w:hAnsi="Times New Roman"/>
          <w:sz w:val="20"/>
          <w:i/>
          <w:iCs/>
        </w:rPr>
        <w:t>Pakeistas priedo pavadinimas: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ind w:firstLine="629"/>
        <w:jc w:val="center"/>
        <w:rPr>
          <w:b/>
          <w:bCs/>
        </w:rPr>
      </w:pPr>
      <w:r>
        <w:rPr>
          <w:b/>
          <w:bCs/>
        </w:rPr>
        <w:t>I</w:t>
      </w:r>
      <w:r>
        <w:rPr>
          <w:b/>
          <w:bCs/>
        </w:rPr>
        <w:t xml:space="preserve"> SKYRIUS</w:t>
      </w:r>
    </w:p>
    <w:p>
      <w:pPr>
        <w:ind w:firstLine="629"/>
        <w:jc w:val="center"/>
        <w:rPr>
          <w:b/>
          <w:bCs/>
        </w:rPr>
      </w:pPr>
      <w:r>
        <w:rPr>
          <w:b/>
          <w:bCs/>
        </w:rPr>
        <w:t>BENDROSIOS NUOSTATOS</w:t>
      </w:r>
    </w:p>
    <w:p>
      <w:pPr>
        <w:ind w:firstLine="629"/>
        <w:jc w:val="both"/>
        <w:rPr>
          <w:b/>
          <w:bCs/>
        </w:rPr>
      </w:pPr>
    </w:p>
    <w:p>
      <w:pPr>
        <w:tabs>
          <w:tab w:val="left" w:pos="680"/>
          <w:tab w:val="left" w:pos="1206"/>
          <w:tab w:val="left" w:pos="1560"/>
        </w:tabs>
        <w:spacing w:line="360" w:lineRule="auto"/>
        <w:ind w:firstLine="567"/>
        <w:jc w:val="both"/>
        <w:rPr>
          <w:strike/>
          <w:lang w:eastAsia="zh-CN"/>
        </w:rPr>
      </w:pPr>
      <w:r>
        <w:rPr>
          <w:szCs w:val="24"/>
        </w:rPr>
        <w:t>1</w:t>
      </w:r>
      <w:r>
        <w:rPr>
          <w:szCs w:val="24"/>
        </w:rPr>
        <w:t>.</w:t>
        <w:tab/>
        <w:t xml:space="preserve">Molėtų rajono savivaldybės (toliau – Savivaldybė) centralizuoto vaikų priėmimo į savivaldybės mokyklas, vykdančias ikimokyklinio ugdymo programas, tvarkos aprašas (toliau – Aprašas) reglamentuoja centralizuotą tėvų (globėjų, įtėvių, rūpintojų) prašymų dėl priėmimo į savivaldybės mokyklas, vykdančias ikimokyklinio ugdymo programas (toliau – Mokykla) pateikimą, mokinių eilės sudarymą, priimtų mokinių sąrašų patvirtinimą, informacijos apie priėmimą į Mokyklą pateikimą, kvietimą pasirašyti mokymo sutartį ir jos pasirašymą Centralizuotoje priėmimo į švietimo programas informacinėje sistemoje (toliau – CPIS), Mokyklų darbą, grupių formavimą, vasaros laikotarpiu,  vaikų priežiūrą ir atsakomybę.</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680"/>
          <w:tab w:val="left" w:pos="1206"/>
          <w:tab w:val="left" w:pos="1560"/>
        </w:tabs>
        <w:spacing w:line="360" w:lineRule="auto"/>
        <w:ind w:firstLine="567"/>
        <w:jc w:val="both"/>
        <w:rPr>
          <w:lang w:eastAsia="zh-CN"/>
        </w:rPr>
      </w:pPr>
      <w:r>
        <w:rPr>
          <w:szCs w:val="24"/>
        </w:rPr>
        <w:t>2</w:t>
      </w:r>
      <w:r>
        <w:rPr>
          <w:szCs w:val="24"/>
        </w:rPr>
        <w:t>. Vaikai į Savivaldybės mokyklas, vykdančias ikimokyklinio ugdymo programas, priimami vadovaujantis Lietuvos Respublikos švietimo įstatymu, Lietuvos Respublikos švietimo, mokslo ir sporto ministro 2025 m. lapkričio 7 d. įsakymu Nr. V-1144 „Dėl Centralizuoto priėmimo į valstybines ir savivaldybių mokyklas, vykdančias ikimokyklinio, priešmokyklinio, pradinio, pagrindinio, vidurinio ugdymo programas, tvarkos aprašo patvirtinimo“, Lietuvos higienos norma HN 75:2016 „Ikimokyklinio ir priešmokyklinio ugdymo programų vykdymo bendrieji sveikatos saugos reikalavimai“, Aprašu ir kitais teisės aktais.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270"/>
        </w:tabs>
        <w:spacing w:line="360" w:lineRule="auto"/>
        <w:ind w:firstLine="630"/>
        <w:jc w:val="both"/>
        <w:rPr>
          <w:strike/>
        </w:rPr>
      </w:pPr>
      <w:r>
        <w:rPr>
          <w:kern w:val="2"/>
          <w:szCs w:val="24"/>
          <w14:ligatures w14:val="standardContextual"/>
        </w:rPr>
        <w:t>3</w:t>
      </w:r>
      <w:r>
        <w:rPr>
          <w:kern w:val="2"/>
          <w:szCs w:val="24"/>
          <w14:ligatures w14:val="standardContextual"/>
        </w:rPr>
        <w:t>.</w:t>
        <w:tab/>
      </w:r>
      <w:r>
        <w:t>Asmens duomenys tvarkomi vadovaujantis 2016 m. balandžio 27 d. Europos Parlamento ir Tarybos reglamento (ES) 2016/679 dėl fizinių asmenų apsaugos tvarkant asmens duomenis ir dėl laisvo tokių duomenų judėjimo ir kuriuo panaikinama Direktyva 95/46/EB (toliau – Bendrasis duomenų apsaugos reglamentas) ir Lietuvos Respublikos asmens duomenų teisinės apsaugos įstatymo nuostatomis. Asmens duomenys trečiosioms šalims gali būti teikiami tik įstatymų ir kitų teisės aktų nustatytais atvejais ir tvarka bei laikantis Bendrojo duomenų apsaugos reglamento reikalavimų.</w:t>
      </w:r>
    </w:p>
    <w:p>
      <w:pPr>
        <w:spacing w:line="360" w:lineRule="auto"/>
        <w:ind w:firstLine="630"/>
        <w:jc w:val="both"/>
        <w:rPr>
          <w:kern w:val="2"/>
          <w:szCs w:val="24"/>
        </w:rPr>
      </w:pPr>
    </w:p>
    <w:p>
      <w:pPr>
        <w:widowControl w:val="0"/>
        <w:tabs>
          <w:tab w:val="left" w:pos="720"/>
          <w:tab w:val="left" w:pos="5595"/>
        </w:tabs>
        <w:suppressAutoHyphens/>
        <w:ind w:firstLine="629"/>
        <w:jc w:val="center"/>
        <w:rPr>
          <w:b/>
          <w:bCs/>
          <w:lang w:eastAsia="zh-CN"/>
        </w:rPr>
      </w:pPr>
      <w:r>
        <w:rPr>
          <w:b/>
          <w:bCs/>
          <w:lang w:eastAsia="zh-CN"/>
        </w:rPr>
        <w:t>II</w:t>
      </w:r>
      <w:r>
        <w:rPr>
          <w:b/>
          <w:bCs/>
          <w:lang w:eastAsia="zh-CN"/>
        </w:rPr>
        <w:t xml:space="preserve"> SKYRIUS</w:t>
      </w:r>
    </w:p>
    <w:p>
      <w:pPr>
        <w:widowControl w:val="0"/>
        <w:tabs>
          <w:tab w:val="left" w:pos="720"/>
          <w:tab w:val="left" w:pos="5595"/>
        </w:tabs>
        <w:suppressAutoHyphens/>
        <w:ind w:firstLine="629"/>
        <w:jc w:val="center"/>
        <w:rPr>
          <w:b/>
          <w:bCs/>
          <w:lang w:eastAsia="zh-CN"/>
        </w:rPr>
      </w:pPr>
      <w:r>
        <w:rPr>
          <w:b/>
          <w:bCs/>
          <w:lang w:eastAsia="zh-CN"/>
        </w:rPr>
        <w:t>TĖVŲ (GLOBĖJŲ, ĮTĖVIŲ) PRAŠYMŲ PATEIKIMAS, PRIĖMIMO Į ŠVIETIMO ĮSTAIGĄ KRITERIJAI, EILIŲ SUDARYMAS, TĖVŲ INFORMAVIMAS</w:t>
      </w:r>
    </w:p>
    <w:p>
      <w:pPr>
        <w:widowControl w:val="0"/>
        <w:tabs>
          <w:tab w:val="left" w:pos="720"/>
          <w:tab w:val="left" w:pos="5595"/>
        </w:tabs>
        <w:suppressAutoHyphens/>
        <w:ind w:firstLine="629"/>
        <w:jc w:val="both"/>
        <w:rPr>
          <w:b/>
          <w:bCs/>
          <w:lang w:eastAsia="zh-CN"/>
        </w:rPr>
      </w:pPr>
    </w:p>
    <w:p>
      <w:pPr>
        <w:tabs>
          <w:tab w:val="left" w:pos="680"/>
          <w:tab w:val="left" w:pos="1560"/>
        </w:tabs>
        <w:spacing w:line="360" w:lineRule="auto"/>
        <w:ind w:firstLine="709"/>
        <w:jc w:val="both"/>
        <w:rPr>
          <w:szCs w:val="24"/>
        </w:rPr>
      </w:pPr>
      <w:r>
        <w:rPr>
          <w:szCs w:val="24"/>
        </w:rPr>
        <w:t>4</w:t>
      </w:r>
      <w:r>
        <w:rPr>
          <w:szCs w:val="24"/>
        </w:rPr>
        <w:t xml:space="preserve">. Prašymai dėl priėmimo į ikimokyklinio ugdymo grupę per CPIS priimami nuolat. Pagrindinis prašymų priėmimas per CPIS į mokyklas vykdomas nuo balandžio 15 d.  iki  einamųjų metų birželio 30 d.:</w:t>
        <w:tab/>
        <w:tab/>
      </w:r>
    </w:p>
    <w:p>
      <w:pPr>
        <w:tabs>
          <w:tab w:val="left" w:pos="680"/>
          <w:tab w:val="left" w:pos="1560"/>
        </w:tabs>
        <w:spacing w:line="360" w:lineRule="auto"/>
        <w:ind w:firstLine="709"/>
        <w:jc w:val="both"/>
        <w:rPr>
          <w:szCs w:val="24"/>
        </w:rPr>
      </w:pPr>
      <w:r>
        <w:rPr>
          <w:szCs w:val="24"/>
        </w:rPr>
        <w:t>4.1</w:t>
      </w:r>
      <w:r>
        <w:rPr>
          <w:szCs w:val="24"/>
        </w:rPr>
        <w:t xml:space="preserve"> papildomas prašymų priėmimas per CPIS vykdomas tik tada, jeigu, pasibaigus pagrindiniam prašymų priėmimui, yra likę laisvų vietų mokyklose. Papildomus prašymo teikimo terminus CPIS sistemoje nustato Savivaldybės CPIS administratorius;</w:t>
      </w:r>
    </w:p>
    <w:p>
      <w:pPr>
        <w:tabs>
          <w:tab w:val="left" w:pos="680"/>
          <w:tab w:val="left" w:pos="1560"/>
        </w:tabs>
        <w:spacing w:line="360" w:lineRule="auto"/>
        <w:ind w:firstLine="709"/>
        <w:jc w:val="both"/>
        <w:rPr>
          <w:szCs w:val="24"/>
        </w:rPr>
      </w:pPr>
      <w:r>
        <w:rPr>
          <w:szCs w:val="24"/>
        </w:rPr>
        <w:t>4.2</w:t>
      </w:r>
      <w:r>
        <w:rPr>
          <w:szCs w:val="24"/>
        </w:rPr>
        <w:t>. prašymai CPIS per Valstybės informacinių išteklių sąveikumo platformą (toliau – Elektroniniai valdžios vartai) pildomi tėvų (globėjų, rūpintojų), kurių vieno iš jų ir vaiko deklaruota gyvenamoji vieta yra Molėtų rajono savivaldybėje, ir priimami Centralizuoto priėmimo į valstybines ir savivaldybių mokyklas, vykdančias ikimokyklinio, priešmokyklinio, pradinio, pagrindinio, vidurinio ugdymo programas, tvarkos aprašo, patvirtinto Lietuvos Respublikos švietimo, mokslo ir sporto ministro 2025 m. lapkričio 7 d. įsakymu Nr. V-1144 „Dėl Centralizuoto priėmimo į valstybines ir savivaldybių mokyklas, vykdančias ikimokyklinio, priešmokyklinio, pradinio, pagrindinio, vidurinio ugdymo programas, tvarkos aprašo patvirtinimo“, nustatyta tvarka. Neturintiems galimybės prisijungti prie CPIS, sąlygas pateikti prašymą sudaro ir konsultuoja Mokyklos įgaliotas asmuo;</w:t>
      </w:r>
    </w:p>
    <w:p>
      <w:pPr>
        <w:tabs>
          <w:tab w:val="left" w:pos="680"/>
          <w:tab w:val="left" w:pos="1560"/>
        </w:tabs>
        <w:spacing w:line="360" w:lineRule="auto"/>
        <w:ind w:firstLine="709"/>
        <w:jc w:val="both"/>
      </w:pPr>
      <w:r>
        <w:rPr>
          <w:szCs w:val="24"/>
        </w:rPr>
        <w:t>4.3</w:t>
      </w:r>
      <w:r>
        <w:rPr>
          <w:szCs w:val="24"/>
        </w:rPr>
        <w:t>. priėmus iš visų Savivaldybėje gyvenamąją vietą deklaravusių ir pageidaujančių ugdyti vaikus savivaldybės mokyklose, vykdančiose ikimokyklinio ugdymo programas, tėvų (globėjų, rūpintojų) prašymus, esant laisvoms vietoms, gali būti priimami ir kitose savivaldybėse savo gyvenamąją vietą deklaravusių tėvų (globėjų, rūpintojų) prašymai, kai vienas iš jų vaikų jau mokosi Savivaldybės bendrojo ugdymo mokykloje;</w:t>
      </w:r>
    </w:p>
    <w:p>
      <w:pPr>
        <w:tabs>
          <w:tab w:val="left" w:pos="680"/>
          <w:tab w:val="left" w:pos="1560"/>
        </w:tabs>
        <w:spacing w:line="360" w:lineRule="auto"/>
        <w:ind w:firstLine="709"/>
        <w:jc w:val="both"/>
      </w:pPr>
      <w:r>
        <w:t>4.4</w:t>
      </w:r>
      <w:r>
        <w:t>. p</w:t>
      </w:r>
      <w:r>
        <w:rPr>
          <w:szCs w:val="24"/>
        </w:rPr>
        <w:t>rašymas CPIS galioja tol, kol sudaroma mokymo sutartis ir registruojama Mokykloje arba kol prašymo teikėjas nepateikia prašymo laikyti negaliojančiu ankstesnį prašymą, arba kai pasibaigia priėmimo laikotarpis.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pStyle w:val="PlainText"/>
        <w:ind w:firstLine="567"/>
        <w:jc w:val="both"/>
        <w:rPr>
          <w:rFonts w:ascii="Times New Roman" w:hAnsi="Times New Roman"/>
          <w:b/>
          <w:bCs/>
          <w:sz w:val="22"/>
        </w:rPr>
      </w:pPr>
      <w:r>
        <w:rPr>
          <w:rFonts w:ascii="Times New Roman" w:hAnsi="Times New Roman"/>
          <w:sz w:val="22"/>
        </w:rPr>
        <w:t>5</w:t>
      </w:r>
      <w:r>
        <w:rPr>
          <w:rFonts w:ascii="Times New Roman" w:hAnsi="Times New Roman"/>
          <w:sz w:val="22"/>
        </w:rPr>
        <w:t>.</w:t>
      </w:r>
      <w:r>
        <w:rPr>
          <w:rFonts w:ascii="Times New Roman" w:eastAsia="MS Mincho" w:hAnsi="Times New Roman"/>
          <w:sz w:val="20"/>
          <w:i/>
          <w:iCs/>
        </w:rPr>
        <w:t xml:space="preserve"> Neteko galios nuo 2026-03-28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680"/>
          <w:tab w:val="left" w:pos="1276"/>
        </w:tabs>
        <w:spacing w:line="360" w:lineRule="auto"/>
        <w:ind w:firstLine="567"/>
        <w:jc w:val="both"/>
      </w:pPr>
      <w:r>
        <w:rPr>
          <w:szCs w:val="24"/>
        </w:rPr>
        <w:t>6</w:t>
      </w:r>
      <w:r>
        <w:rPr>
          <w:szCs w:val="24"/>
        </w:rPr>
        <w:t>. Prie prašymo CPIS pridedami vaiko registravimui Mokinių registre reikalingi duomenys ir kiti dokumentai, kuriais vadovaujantis gali būti teikiama pirmenybė Aprašo 8 punkte nurodytais atvejais.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7</w:t>
      </w:r>
      <w:r>
        <w:rPr>
          <w:kern w:val="2"/>
          <w:szCs w:val="24"/>
          <w14:ligatures w14:val="standardContextual"/>
        </w:rPr>
        <w:t>.</w:t>
        <w:tab/>
      </w:r>
      <w:r>
        <w:t xml:space="preserve">Vaikai, kuriems skiriamas privalomas ikimokyklinis ugdymas Lietuvos Respublikos įstatymų numatytais atvejais kalendoriniais metais į Švietimo įstaigą priimami be eilės. </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w:t>
      </w:r>
      <w:r>
        <w:rPr>
          <w:kern w:val="2"/>
          <w:szCs w:val="24"/>
          <w14:ligatures w14:val="standardContextual"/>
        </w:rPr>
        <w:t>.</w:t>
        <w:tab/>
      </w:r>
      <w:r>
        <w:t xml:space="preserve">Sudarant eiles į ugdymo grupes, pirmenybę turi tie asmenys, kurie atitinka šiuos pagal prioritetą išdėstytus kriterijus: </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8.1</w:t>
      </w:r>
      <w:r>
        <w:rPr>
          <w:kern w:val="2"/>
          <w:szCs w:val="24"/>
          <w14:ligatures w14:val="standardContextual"/>
        </w:rPr>
        <w:t>.</w:t>
        <w:tab/>
      </w:r>
      <w:r>
        <w:t xml:space="preserve"> asmuo, turintis sunkių judėjimo ir atramos funkcijos sutrikimų;</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8.2</w:t>
      </w:r>
      <w:r>
        <w:rPr>
          <w:kern w:val="2"/>
          <w:szCs w:val="24"/>
          <w14:ligatures w14:val="standardContextual"/>
        </w:rPr>
        <w:t>.</w:t>
        <w:tab/>
      </w:r>
      <w:r>
        <w:t xml:space="preserve"> asmuo, kurio bent vienas iš tėvų (globėjų, įtėvių, rūpintojų) turi sunkių judėjimo ir atramos funkcijos sutrikimų.</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8.3</w:t>
      </w:r>
      <w:r>
        <w:rPr>
          <w:kern w:val="2"/>
          <w:szCs w:val="24"/>
          <w14:ligatures w14:val="standardContextual"/>
        </w:rPr>
        <w:t>.</w:t>
        <w:tab/>
      </w:r>
      <w:r>
        <w:t xml:space="preserve"> įvaikintas asmuo, globotinis, rūpintinis;</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8.4</w:t>
      </w:r>
      <w:r>
        <w:rPr>
          <w:kern w:val="2"/>
          <w:szCs w:val="24"/>
          <w14:ligatures w14:val="standardContextual"/>
        </w:rPr>
        <w:t>.</w:t>
        <w:tab/>
      </w:r>
      <w:r>
        <w:t xml:space="preserve"> asmuo, turintis didelių ar labai didelių specialiųjų ugdymosi poreikių;</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8.5</w:t>
      </w:r>
      <w:r>
        <w:rPr>
          <w:kern w:val="2"/>
          <w:szCs w:val="24"/>
          <w14:ligatures w14:val="standardContextual"/>
        </w:rPr>
        <w:t>.</w:t>
        <w:tab/>
      </w:r>
      <w:r>
        <w:t xml:space="preserve"> asmuo, kurio gyvenamoji vieta deklaruota Savivaldybės suteiktame socialiniame būste;</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8.6</w:t>
      </w:r>
      <w:r>
        <w:rPr>
          <w:kern w:val="2"/>
          <w:szCs w:val="24"/>
          <w14:ligatures w14:val="standardContextual"/>
        </w:rPr>
        <w:t>.</w:t>
        <w:tab/>
      </w:r>
      <w:r>
        <w:t xml:space="preserve"> asmuo, kurio broliai / seserys prašymo pateikimo metu jau ugdomi toje įstaigoje;</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8.7</w:t>
      </w:r>
      <w:r>
        <w:rPr>
          <w:kern w:val="2"/>
          <w:szCs w:val="24"/>
          <w14:ligatures w14:val="standardContextual"/>
        </w:rPr>
        <w:t>.</w:t>
        <w:tab/>
      </w:r>
      <w:r>
        <w:t xml:space="preserve"> asmuo, kurio bent vienas iš tėvų (globėjų, įtėvių, rūpintojų)  yra įstaigos pedagoginis darbuotojas, dirbantis toje įstaigoje;</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8.8</w:t>
      </w:r>
      <w:r>
        <w:rPr>
          <w:kern w:val="2"/>
          <w:szCs w:val="24"/>
          <w14:ligatures w14:val="standardContextual"/>
        </w:rPr>
        <w:t>.</w:t>
        <w:tab/>
      </w:r>
      <w:r>
        <w:t xml:space="preserve"> asmuo, kurio tėvai (globėjai, įtėviai, rūpintojai) patenka į Savivaldybės tarybos sprendimu patvirtintą trūkstamų specialistų pritraukimo į Savivaldybės viešąsias ir biudžetines įstaigas programą. </w:t>
      </w:r>
    </w:p>
    <w:p>
      <w:pPr>
        <w:tabs>
          <w:tab w:val="left" w:pos="270"/>
          <w:tab w:val="left" w:pos="1211"/>
          <w:tab w:val="left" w:pos="1276"/>
          <w:tab w:val="left" w:pos="1440"/>
        </w:tabs>
        <w:spacing w:line="360" w:lineRule="auto"/>
        <w:ind w:firstLine="630"/>
        <w:jc w:val="both"/>
      </w:pPr>
      <w:r>
        <w:rPr>
          <w:kern w:val="2"/>
          <w:szCs w:val="24"/>
          <w14:ligatures w14:val="standardContextual"/>
        </w:rPr>
        <w:t>9</w:t>
      </w:r>
      <w:r>
        <w:rPr>
          <w:kern w:val="2"/>
          <w:szCs w:val="24"/>
          <w14:ligatures w14:val="standardContextual"/>
        </w:rPr>
        <w:t>.</w:t>
        <w:tab/>
      </w:r>
      <w:r>
        <w:t xml:space="preserve">Vaikai, kuriems skiriamas privalomas ikimokyklinis ugdymas Lietuvos Respublikos įstatymų numatytais atvejais kalendoriniais metais į Švietimo įstaigą gali būti priimami net ir tuo atveju, jei nustatytas vaikų skaičius grupėje viršijamas. </w:t>
      </w:r>
    </w:p>
    <w:p>
      <w:pPr>
        <w:tabs>
          <w:tab w:val="left" w:pos="680"/>
          <w:tab w:val="left" w:pos="1276"/>
          <w:tab w:val="left" w:pos="1701"/>
        </w:tabs>
        <w:spacing w:line="360" w:lineRule="auto"/>
        <w:ind w:firstLine="709"/>
        <w:jc w:val="both"/>
      </w:pPr>
      <w:r>
        <w:rPr>
          <w:szCs w:val="24"/>
        </w:rPr>
        <w:t>10</w:t>
      </w:r>
      <w:r>
        <w:rPr>
          <w:szCs w:val="24"/>
        </w:rPr>
        <w:t>. Tėvų (globėjų, rūpintojų) informavimas apie prašymų pateikimo, nagrinėjimo, patvirtinimo būklę, būtinybę pateikti papildomus dokumentus arba patikslinti prašymą, prašymo teikėjo būsenos pasikeitimą laukiančiųjų eilėje bei kvietimą pasirašyti mokymo sutartį arba informavimas apie nepatekimą į pasirinktą Mokyklą, laisvas ugdymosi vietas Mokyklose vykdomas CPIS automatiniu būdu,</w:t>
      </w:r>
      <w:r>
        <w:t xml:space="preserve"> </w:t>
      </w:r>
      <w:r>
        <w:rPr>
          <w:szCs w:val="24"/>
        </w:rPr>
        <w:t xml:space="preserve">viešai skelbiama CPIS savitarnos paskyroje bei informuojama elektroniniu paštu. Šis aprašas skelbiamas Mokyklos internetinėje svetainėje.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pStyle w:val="PlainText"/>
        <w:ind w:firstLine="567"/>
        <w:jc w:val="both"/>
        <w:rPr>
          <w:rFonts w:ascii="Times New Roman" w:hAnsi="Times New Roman"/>
          <w:b/>
          <w:bCs/>
          <w:sz w:val="22"/>
        </w:rPr>
      </w:pPr>
      <w:r>
        <w:rPr>
          <w:rFonts w:ascii="Times New Roman" w:hAnsi="Times New Roman"/>
          <w:sz w:val="22"/>
        </w:rPr>
        <w:t>11</w:t>
      </w:r>
      <w:r>
        <w:rPr>
          <w:rFonts w:ascii="Times New Roman" w:hAnsi="Times New Roman"/>
          <w:sz w:val="22"/>
        </w:rPr>
        <w:t>.</w:t>
      </w:r>
      <w:r>
        <w:rPr>
          <w:rFonts w:ascii="Times New Roman" w:eastAsia="MS Mincho" w:hAnsi="Times New Roman"/>
          <w:sz w:val="20"/>
          <w:i/>
          <w:iCs/>
        </w:rPr>
        <w:t xml:space="preserve"> Neteko galios nuo 2026-03-28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pStyle w:val="PlainText"/>
        <w:ind w:firstLine="567"/>
        <w:jc w:val="both"/>
        <w:rPr>
          <w:rFonts w:ascii="Times New Roman" w:hAnsi="Times New Roman"/>
          <w:b/>
          <w:bCs/>
          <w:sz w:val="22"/>
        </w:rPr>
      </w:pPr>
      <w:r>
        <w:rPr>
          <w:rFonts w:ascii="Times New Roman" w:hAnsi="Times New Roman"/>
          <w:sz w:val="22"/>
        </w:rPr>
        <w:t>12</w:t>
      </w:r>
      <w:r>
        <w:rPr>
          <w:rFonts w:ascii="Times New Roman" w:hAnsi="Times New Roman"/>
          <w:sz w:val="22"/>
        </w:rPr>
        <w:t>.</w:t>
      </w:r>
      <w:r>
        <w:rPr>
          <w:rFonts w:ascii="Times New Roman" w:eastAsia="MS Mincho" w:hAnsi="Times New Roman"/>
          <w:sz w:val="20"/>
          <w:i/>
          <w:iCs/>
        </w:rPr>
        <w:t xml:space="preserve"> Neteko galios nuo 2026-03-28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pStyle w:val="PlainText"/>
        <w:ind w:firstLine="567"/>
        <w:jc w:val="both"/>
        <w:rPr>
          <w:rFonts w:ascii="Times New Roman" w:hAnsi="Times New Roman"/>
          <w:b/>
          <w:bCs/>
          <w:sz w:val="22"/>
        </w:rPr>
      </w:pPr>
      <w:r>
        <w:rPr>
          <w:rFonts w:ascii="Times New Roman" w:hAnsi="Times New Roman"/>
          <w:sz w:val="22"/>
        </w:rPr>
        <w:t>13</w:t>
      </w:r>
      <w:r>
        <w:rPr>
          <w:rFonts w:ascii="Times New Roman" w:hAnsi="Times New Roman"/>
          <w:sz w:val="22"/>
        </w:rPr>
        <w:t>.</w:t>
      </w:r>
      <w:r>
        <w:rPr>
          <w:rFonts w:ascii="Times New Roman" w:eastAsia="MS Mincho" w:hAnsi="Times New Roman"/>
          <w:sz w:val="20"/>
          <w:i/>
          <w:iCs/>
        </w:rPr>
        <w:t xml:space="preserve"> Neteko galios nuo 2026-03-28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pStyle w:val="PlainText"/>
        <w:ind w:firstLine="567"/>
        <w:jc w:val="both"/>
        <w:rPr>
          <w:rFonts w:ascii="Times New Roman" w:hAnsi="Times New Roman"/>
          <w:b/>
          <w:bCs/>
          <w:sz w:val="22"/>
        </w:rPr>
      </w:pPr>
      <w:r>
        <w:rPr>
          <w:rFonts w:ascii="Times New Roman" w:hAnsi="Times New Roman"/>
          <w:sz w:val="22"/>
        </w:rPr>
        <w:t>14</w:t>
      </w:r>
      <w:r>
        <w:rPr>
          <w:rFonts w:ascii="Times New Roman" w:hAnsi="Times New Roman"/>
          <w:sz w:val="22"/>
        </w:rPr>
        <w:t>.</w:t>
      </w:r>
      <w:r>
        <w:rPr>
          <w:rFonts w:ascii="Times New Roman" w:eastAsia="MS Mincho" w:hAnsi="Times New Roman"/>
          <w:sz w:val="20"/>
          <w:i/>
          <w:iCs/>
        </w:rPr>
        <w:t xml:space="preserve"> Neteko galios nuo 2026-03-28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pStyle w:val="PlainText"/>
        <w:ind w:firstLine="567"/>
        <w:jc w:val="both"/>
        <w:rPr>
          <w:rFonts w:ascii="Times New Roman" w:hAnsi="Times New Roman"/>
          <w:b/>
          <w:bCs/>
          <w:sz w:val="22"/>
        </w:rPr>
      </w:pPr>
      <w:r>
        <w:rPr>
          <w:rFonts w:ascii="Times New Roman" w:hAnsi="Times New Roman"/>
          <w:sz w:val="22"/>
        </w:rPr>
        <w:t>15</w:t>
      </w:r>
      <w:r>
        <w:rPr>
          <w:rFonts w:ascii="Times New Roman" w:hAnsi="Times New Roman"/>
          <w:sz w:val="22"/>
        </w:rPr>
        <w:t>.</w:t>
      </w:r>
      <w:r>
        <w:rPr>
          <w:rFonts w:ascii="Times New Roman" w:eastAsia="MS Mincho" w:hAnsi="Times New Roman"/>
          <w:sz w:val="20"/>
          <w:i/>
          <w:iCs/>
        </w:rPr>
        <w:t xml:space="preserve"> Neteko galios nuo 2026-03-28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pStyle w:val="PlainText"/>
        <w:ind w:firstLine="567"/>
        <w:jc w:val="both"/>
        <w:rPr>
          <w:rFonts w:ascii="Times New Roman" w:hAnsi="Times New Roman"/>
          <w:b/>
          <w:bCs/>
          <w:sz w:val="22"/>
        </w:rPr>
      </w:pPr>
      <w:r>
        <w:rPr>
          <w:rFonts w:ascii="Times New Roman" w:hAnsi="Times New Roman"/>
          <w:sz w:val="22"/>
        </w:rPr>
        <w:t>16</w:t>
      </w:r>
      <w:r>
        <w:rPr>
          <w:rFonts w:ascii="Times New Roman" w:hAnsi="Times New Roman"/>
          <w:sz w:val="22"/>
        </w:rPr>
        <w:t>.</w:t>
      </w:r>
      <w:r>
        <w:rPr>
          <w:rFonts w:ascii="Times New Roman" w:eastAsia="MS Mincho" w:hAnsi="Times New Roman"/>
          <w:sz w:val="20"/>
          <w:i/>
          <w:iCs/>
        </w:rPr>
        <w:t xml:space="preserve"> Neteko galios nuo 2026-03-28</w:t>
      </w:r>
    </w:p>
    <w:p>
      <w:pPr>
        <w:pStyle w:val="PlainText"/>
        <w:rPr>
          <w:rFonts w:ascii="Times New Roman" w:eastAsia="MS Mincho" w:hAnsi="Times New Roman"/>
          <w:sz w:val="20"/>
          <w:i/>
          <w:iCs/>
        </w:rPr>
      </w:pPr>
      <w:r>
        <w:rPr>
          <w:rFonts w:ascii="Times New Roman" w:eastAsia="MS Mincho" w:hAnsi="Times New Roman"/>
          <w:sz w:val="20"/>
          <w:i/>
          <w:iCs/>
        </w:rPr>
        <w:t>Punkto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widowControl w:val="0"/>
        <w:tabs>
          <w:tab w:val="left" w:pos="360"/>
          <w:tab w:val="left" w:pos="1134"/>
          <w:tab w:val="left" w:pos="1440"/>
          <w:tab w:val="left" w:pos="1620"/>
        </w:tabs>
        <w:overflowPunct w:val="0"/>
        <w:ind w:firstLine="629"/>
        <w:jc w:val="center"/>
        <w:rPr>
          <w:b/>
          <w:bCs/>
          <w:kern w:val="2"/>
          <w:szCs w:val="24"/>
        </w:rPr>
      </w:pPr>
      <w:r>
        <w:rPr>
          <w:b/>
          <w:bCs/>
          <w:kern w:val="2"/>
          <w:szCs w:val="24"/>
        </w:rPr>
        <w:t>III</w:t>
      </w:r>
      <w:r>
        <w:rPr>
          <w:b/>
          <w:bCs/>
          <w:kern w:val="2"/>
          <w:szCs w:val="24"/>
        </w:rPr>
        <w:t xml:space="preserve"> SKYRIUS</w:t>
      </w:r>
    </w:p>
    <w:p>
      <w:pPr>
        <w:widowControl w:val="0"/>
        <w:tabs>
          <w:tab w:val="left" w:pos="360"/>
          <w:tab w:val="left" w:pos="1134"/>
          <w:tab w:val="left" w:pos="1440"/>
          <w:tab w:val="left" w:pos="1620"/>
        </w:tabs>
        <w:overflowPunct w:val="0"/>
        <w:ind w:firstLine="629"/>
        <w:jc w:val="center"/>
        <w:rPr>
          <w:b/>
          <w:bCs/>
          <w:kern w:val="2"/>
          <w:szCs w:val="24"/>
        </w:rPr>
      </w:pPr>
      <w:r>
        <w:rPr>
          <w:b/>
          <w:bCs/>
          <w:kern w:val="2"/>
          <w:szCs w:val="24"/>
        </w:rPr>
        <w:t>GRUPIŲ SUDARYMAS</w:t>
      </w:r>
    </w:p>
    <w:p>
      <w:pPr>
        <w:widowControl w:val="0"/>
        <w:tabs>
          <w:tab w:val="left" w:pos="360"/>
          <w:tab w:val="left" w:pos="1134"/>
          <w:tab w:val="left" w:pos="1440"/>
          <w:tab w:val="left" w:pos="1620"/>
        </w:tabs>
        <w:overflowPunct w:val="0"/>
        <w:spacing w:line="360" w:lineRule="auto"/>
        <w:ind w:firstLine="630"/>
        <w:jc w:val="both"/>
        <w:rPr>
          <w:kern w:val="2"/>
          <w:szCs w:val="24"/>
        </w:rPr>
      </w:pP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17</w:t>
      </w:r>
      <w:r>
        <w:rPr>
          <w:kern w:val="2"/>
          <w:szCs w:val="24"/>
          <w14:ligatures w14:val="standardContextual"/>
        </w:rPr>
        <w:t>.</w:t>
        <w:tab/>
      </w:r>
      <w:r>
        <w:rPr>
          <w:lang w:eastAsia="lt-LT"/>
        </w:rPr>
        <w:t xml:space="preserve">Grupės komplektuojamos pagal vaikų amžių, vertinant  kiek vaikui metų sukanka tais kalendoriniais metais, ir poreikius, atsižvelgiant į Lietuvos Respublikos higienos normos HN 75:2016 </w:t>
      </w:r>
      <w:r>
        <w:rPr>
          <w:lang w:eastAsia="zh-CN"/>
        </w:rPr>
        <w:t xml:space="preserve">„Ikimokyklinio ir priešmokyklinio ugdymo programų vykdymo bendrieji sveikatos saugos reikalavimai“ ir </w:t>
      </w:r>
      <w:r>
        <w:rPr>
          <w:lang w:eastAsia="lt-LT"/>
        </w:rPr>
        <w:t>teisės aktuose nustatytus reikalavimus, kasmet iki rugsėjo 1 d. ir, esant laisvoms vietoms, papildomos mokslo metų bėgyje.</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18</w:t>
      </w:r>
      <w:r>
        <w:rPr>
          <w:kern w:val="2"/>
          <w:szCs w:val="24"/>
          <w14:ligatures w14:val="standardContextual"/>
        </w:rPr>
        <w:t>.</w:t>
        <w:tab/>
      </w:r>
      <w:r>
        <w:t>Specialiųjų ugdymosi poreikių turintys ikimokyklinio amžiaus vaikai ugdomi bendros paskirties grupėse.</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19</w:t>
      </w:r>
      <w:r>
        <w:rPr>
          <w:kern w:val="2"/>
          <w:szCs w:val="24"/>
          <w14:ligatures w14:val="standardContextual"/>
        </w:rPr>
        <w:t>.</w:t>
        <w:tab/>
      </w:r>
      <w:r>
        <w:rPr>
          <w:lang w:eastAsia="zh-CN"/>
        </w:rPr>
        <w:t>S</w:t>
      </w:r>
      <w:r>
        <w:rPr>
          <w:rFonts w:eastAsia="Calibri"/>
          <w:lang w:eastAsia="ar-SA"/>
        </w:rPr>
        <w:t xml:space="preserve">avivaldybės taryba kiekvienais kalendoriniais metais iki gegužės 31 d. nustato </w:t>
      </w:r>
      <w:r>
        <w:t>ikimokyklinio ir (ar) jungtinių ugdymo grupių ir ugdytinių</w:t>
      </w:r>
      <w:r>
        <w:rPr>
          <w:lang w:eastAsia="lt-LT"/>
        </w:rPr>
        <w:t xml:space="preserve"> skaičių ikimokyklinio ugdymo įstaigose. </w:t>
      </w:r>
      <w:r>
        <w:rPr>
          <w:rFonts w:eastAsia="Calibri"/>
          <w:lang w:eastAsia="ar-SA"/>
        </w:rPr>
        <w:t xml:space="preserve">Iki rugsėjo 1 d. ugdytinių ir grupių skaičių tikslina: </w:t>
      </w:r>
    </w:p>
    <w:p>
      <w:pPr>
        <w:widowControl w:val="0"/>
        <w:tabs>
          <w:tab w:val="left" w:pos="360"/>
          <w:tab w:val="left" w:pos="540"/>
          <w:tab w:val="left" w:pos="1440"/>
          <w:tab w:val="left" w:pos="1620"/>
        </w:tabs>
        <w:overflowPunct w:val="0"/>
        <w:spacing w:line="360" w:lineRule="auto"/>
        <w:ind w:firstLine="630"/>
        <w:jc w:val="both"/>
        <w:rPr>
          <w:lang w:eastAsia="lt-LT"/>
        </w:rPr>
      </w:pPr>
      <w:r>
        <w:rPr>
          <w:kern w:val="2"/>
          <w:szCs w:val="24"/>
          <w:lang w:eastAsia="lt-LT"/>
          <w14:ligatures w14:val="standardContextual"/>
        </w:rPr>
        <w:t>19.1</w:t>
      </w:r>
      <w:r>
        <w:rPr>
          <w:kern w:val="2"/>
          <w:szCs w:val="24"/>
          <w:lang w:eastAsia="lt-LT"/>
          <w14:ligatures w14:val="standardContextual"/>
        </w:rPr>
        <w:t>.</w:t>
        <w:tab/>
      </w:r>
      <w:r>
        <w:rPr>
          <w:lang w:eastAsia="lt-LT"/>
        </w:rPr>
        <w:t>jei iš ikimokyklinio ugdymo įstaigos prašymų ugdytis skaičius yra didesnis nei buvo nustatytas iki gegužės 31 d., ugdytinių, grupių skaičius gali būti didinamas, nepažeidžiant higienos normų bei teisės aktų reikalavimų;</w:t>
      </w:r>
    </w:p>
    <w:p>
      <w:pPr>
        <w:widowControl w:val="0"/>
        <w:tabs>
          <w:tab w:val="left" w:pos="360"/>
          <w:tab w:val="left" w:pos="540"/>
          <w:tab w:val="left" w:pos="1440"/>
          <w:tab w:val="left" w:pos="1620"/>
        </w:tabs>
        <w:overflowPunct w:val="0"/>
        <w:spacing w:line="360" w:lineRule="auto"/>
        <w:ind w:firstLine="630"/>
        <w:jc w:val="both"/>
      </w:pPr>
      <w:r>
        <w:rPr>
          <w:kern w:val="2"/>
          <w:szCs w:val="24"/>
          <w14:ligatures w14:val="standardContextual"/>
        </w:rPr>
        <w:t>19.2</w:t>
      </w:r>
      <w:r>
        <w:rPr>
          <w:kern w:val="2"/>
          <w:szCs w:val="24"/>
          <w14:ligatures w14:val="standardContextual"/>
        </w:rPr>
        <w:t>.</w:t>
        <w:tab/>
      </w:r>
      <w:r>
        <w:rPr>
          <w:bCs/>
          <w:lang w:eastAsia="lt-LT"/>
        </w:rPr>
        <w:t>jei ikimokyklinio ugdymo įstaiga nesurenka nustatyto ugdytinių skaičiaus ir nesudaro patvirtinto grupių skaičiaus, ugdytinių, grupių skaičius mažinamas, nepažeidžiant teisės aktų reikalavimų.</w:t>
      </w:r>
      <w:r>
        <w:rPr>
          <w:bCs/>
        </w:rPr>
        <w:t xml:space="preserve"> </w:t>
      </w:r>
    </w:p>
    <w:p>
      <w:pPr>
        <w:tabs>
          <w:tab w:val="left" w:pos="680"/>
          <w:tab w:val="left" w:pos="1276"/>
        </w:tabs>
        <w:spacing w:line="360" w:lineRule="auto"/>
        <w:ind w:firstLine="567"/>
        <w:jc w:val="both"/>
      </w:pPr>
      <w:r>
        <w:rPr>
          <w:szCs w:val="24"/>
        </w:rPr>
        <w:t>20</w:t>
      </w:r>
      <w:r>
        <w:rPr>
          <w:szCs w:val="24"/>
        </w:rPr>
        <w:t>. Švietimo įstaigų vadovai informaciją apie einamųjų metų rugsėjo 1 d. planuojamų priimti į ikimokyklinio ugdymo įstaigą vaikų skaičių, priimamų vaikų amžių, raštu pateikia Kultūros ir švietimo skyriui iki einamųjų metų kovo 1 d., o iki einamųjų metų rugpjūčio 20 d. raštu šią informaciją patikslina.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360"/>
          <w:tab w:val="left" w:pos="583"/>
          <w:tab w:val="left" w:pos="720"/>
        </w:tabs>
        <w:suppressAutoHyphens/>
        <w:spacing w:line="360" w:lineRule="auto"/>
        <w:ind w:firstLine="630"/>
        <w:jc w:val="both"/>
        <w:rPr>
          <w:lang w:eastAsia="zh-CN"/>
        </w:rPr>
      </w:pPr>
      <w:r>
        <w:rPr>
          <w:kern w:val="2"/>
          <w:szCs w:val="24"/>
          <w:lang w:eastAsia="zh-CN"/>
          <w14:ligatures w14:val="standardContextual"/>
        </w:rPr>
        <w:t>21</w:t>
      </w:r>
      <w:r>
        <w:rPr>
          <w:kern w:val="2"/>
          <w:szCs w:val="24"/>
          <w:lang w:eastAsia="zh-CN"/>
          <w14:ligatures w14:val="standardContextual"/>
        </w:rPr>
        <w:t>.</w:t>
        <w:tab/>
      </w:r>
      <w:r>
        <w:rPr>
          <w:lang w:eastAsia="zh-CN"/>
        </w:rPr>
        <w:t xml:space="preserve"> Vaikų priėmimo į grupes įteisinimas:</w:t>
      </w:r>
    </w:p>
    <w:p>
      <w:pPr>
        <w:tabs>
          <w:tab w:val="left" w:pos="680"/>
          <w:tab w:val="left" w:pos="1276"/>
        </w:tabs>
        <w:spacing w:line="360" w:lineRule="auto"/>
        <w:ind w:firstLine="567"/>
        <w:jc w:val="both"/>
      </w:pPr>
      <w:r>
        <w:rPr>
          <w:szCs w:val="24"/>
        </w:rPr>
        <w:t>21.1</w:t>
      </w:r>
      <w:r>
        <w:rPr>
          <w:szCs w:val="24"/>
        </w:rPr>
        <w:t>. prašymo teikėjai apie Mokyklą, kurioje kviečiami ugdytis, informuojami automatiniu būdu elektroniniu paštu. CPIS savitarnos paskyroje teikiama informacija, susijusi su priėmimu į Mokyklą. Prašymo teikėjas, atsisakantis ugdytis paskirtoje Mokykloje, privalo gautuose elektroniniuose pranešimuose patvirtinti atsisakymą, to nepadarius prašymas laikomas negaliojančiu. Prašymo teikėjas, pageidaujantis pakartotinai patekti į laukiančiųjų eilę, turi užpildyti naują prašymą</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680"/>
          <w:tab w:val="left" w:pos="1276"/>
        </w:tabs>
        <w:spacing w:line="360" w:lineRule="auto"/>
        <w:ind w:firstLine="567"/>
        <w:jc w:val="both"/>
      </w:pPr>
      <w:r>
        <w:rPr>
          <w:szCs w:val="24"/>
        </w:rPr>
        <w:t>21.2</w:t>
      </w:r>
      <w:r>
        <w:rPr>
          <w:szCs w:val="24"/>
        </w:rPr>
        <w:t>. mokymo sutartis sudaroma ir pasirašoma CPIS savitarnoje, naudojantis CPIS patvirtintu pažangiu elektroniniu parašu. Jei prašymo teikėjas neturi galimybės naudotis elektroninėmis priemonėmis, mokymo sutartis gali būti pasirašoma atvykus į Mokyklą ir pateikus tapatybę patvirtinančius dokumentus bei dokumentus, pagrindžiančius ryšį su prašyme nurodomu asmeniu. Prašymo teikėjui CPIS nustatytu laiku nepasirašius mokymo sutarties, CPIS automatiškai nustatomas statusas „Mokymo sutartis nepasirašyta“ ir jis nėra įtraukiamas į eilių perskaičiavimą.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0"/>
          <w:tab w:val="left" w:pos="360"/>
          <w:tab w:val="left" w:pos="720"/>
        </w:tabs>
        <w:spacing w:line="360" w:lineRule="auto"/>
        <w:ind w:firstLine="630"/>
        <w:jc w:val="both"/>
        <w:rPr>
          <w:lang w:eastAsia="zh-CN"/>
        </w:rPr>
      </w:pPr>
      <w:r>
        <w:rPr>
          <w:kern w:val="2"/>
          <w:szCs w:val="24"/>
          <w:lang w:eastAsia="zh-CN"/>
          <w14:ligatures w14:val="standardContextual"/>
        </w:rPr>
        <w:t>22</w:t>
      </w:r>
      <w:r>
        <w:rPr>
          <w:kern w:val="2"/>
          <w:szCs w:val="24"/>
          <w:lang w:eastAsia="zh-CN"/>
          <w14:ligatures w14:val="standardContextual"/>
        </w:rPr>
        <w:t>.</w:t>
        <w:tab/>
      </w:r>
      <w:r>
        <w:rPr>
          <w:lang w:eastAsia="zh-CN"/>
        </w:rPr>
        <w:t>Galutiniai ikimokyklinio ugdymo grupių vaikų sąrašai sudaromi ir tvirtinami Švietimo įstaigos direktoriaus įsakymu einamųjų metų rugsėjo mėnesio pirmą darbo dieną.</w:t>
      </w:r>
    </w:p>
    <w:p>
      <w:pPr>
        <w:tabs>
          <w:tab w:val="left" w:pos="360"/>
        </w:tabs>
        <w:spacing w:line="360" w:lineRule="auto"/>
        <w:ind w:firstLine="630"/>
        <w:jc w:val="both"/>
      </w:pPr>
      <w:r>
        <w:rPr>
          <w:kern w:val="2"/>
          <w:szCs w:val="24"/>
          <w14:ligatures w14:val="standardContextual"/>
        </w:rPr>
        <w:t>23</w:t>
      </w:r>
      <w:r>
        <w:rPr>
          <w:kern w:val="2"/>
          <w:szCs w:val="24"/>
          <w14:ligatures w14:val="standardContextual"/>
        </w:rPr>
        <w:t>.</w:t>
        <w:tab/>
      </w:r>
      <w:r>
        <w:rPr>
          <w:color w:val="000000"/>
        </w:rPr>
        <w:t xml:space="preserve">Tėvai (globėjai, įtėviai, </w:t>
      </w:r>
      <w:r>
        <w:t>rūpintojai</w:t>
      </w:r>
      <w:r>
        <w:rPr>
          <w:color w:val="000000"/>
        </w:rPr>
        <w:t xml:space="preserve">) iki pirmos vaiko ugdymosi dienos </w:t>
      </w:r>
      <w:r>
        <w:rPr>
          <w:lang w:eastAsia="zh-CN"/>
        </w:rPr>
        <w:t xml:space="preserve">Švietimo </w:t>
      </w:r>
      <w:r>
        <w:rPr>
          <w:color w:val="000000"/>
        </w:rPr>
        <w:t>įstaigoje privalo pasirūpinti vaiko profilaktiniu sveikatos patikrinimu. </w:t>
      </w:r>
    </w:p>
    <w:p>
      <w:pPr>
        <w:widowControl w:val="0"/>
        <w:tabs>
          <w:tab w:val="left" w:pos="360"/>
          <w:tab w:val="left" w:pos="1134"/>
          <w:tab w:val="left" w:pos="1440"/>
          <w:tab w:val="left" w:pos="1620"/>
        </w:tabs>
        <w:overflowPunct w:val="0"/>
        <w:spacing w:line="360" w:lineRule="auto"/>
        <w:ind w:firstLine="630"/>
        <w:jc w:val="both"/>
      </w:pPr>
      <w:r>
        <w:rPr>
          <w:kern w:val="2"/>
          <w:szCs w:val="24"/>
          <w14:ligatures w14:val="standardContextual"/>
        </w:rPr>
        <w:t>24</w:t>
      </w:r>
      <w:r>
        <w:rPr>
          <w:kern w:val="2"/>
          <w:szCs w:val="24"/>
          <w14:ligatures w14:val="standardContextual"/>
        </w:rPr>
        <w:t>.</w:t>
        <w:tab/>
      </w:r>
      <w:r>
        <w:rPr>
          <w:shd w:val="clear" w:color="auto" w:fill="FFFFFF"/>
          <w:lang w:eastAsia="zh-CN"/>
        </w:rPr>
        <w:t xml:space="preserve">Jei vaikas du mėnesius dėl nepateisinamų priežasčių nelanko Švietimo įstaigoje vykdomos ikimokyklinio ugdymo programos, jis išbraukiamas iš sąrašų ir jo vieta neišsaugoma. </w:t>
      </w:r>
    </w:p>
    <w:p>
      <w:pPr>
        <w:tabs>
          <w:tab w:val="left" w:pos="360"/>
        </w:tabs>
        <w:spacing w:line="360" w:lineRule="auto"/>
        <w:jc w:val="both"/>
        <w:rPr>
          <w:kern w:val="2"/>
          <w:szCs w:val="24"/>
        </w:rPr>
      </w:pPr>
    </w:p>
    <w:p>
      <w:pPr>
        <w:tabs>
          <w:tab w:val="left" w:pos="360"/>
          <w:tab w:val="left" w:pos="720"/>
        </w:tabs>
        <w:ind w:firstLine="629"/>
        <w:jc w:val="center"/>
        <w:rPr>
          <w:rFonts w:eastAsia="Calibri"/>
          <w:b/>
          <w:kern w:val="2"/>
          <w:szCs w:val="24"/>
        </w:rPr>
      </w:pPr>
      <w:r>
        <w:rPr>
          <w:rFonts w:eastAsia="Calibri"/>
          <w:b/>
          <w:kern w:val="2"/>
          <w:szCs w:val="24"/>
        </w:rPr>
        <w:t>IV</w:t>
      </w:r>
      <w:r>
        <w:rPr>
          <w:rFonts w:eastAsia="Calibri"/>
          <w:b/>
          <w:kern w:val="2"/>
          <w:szCs w:val="24"/>
        </w:rPr>
        <w:t xml:space="preserve"> SKYRIUS</w:t>
      </w:r>
    </w:p>
    <w:p>
      <w:pPr>
        <w:tabs>
          <w:tab w:val="left" w:pos="360"/>
          <w:tab w:val="left" w:pos="720"/>
        </w:tabs>
        <w:ind w:firstLine="629"/>
        <w:jc w:val="center"/>
        <w:rPr>
          <w:rFonts w:eastAsia="Calibri"/>
          <w:b/>
          <w:kern w:val="2"/>
          <w:szCs w:val="24"/>
        </w:rPr>
      </w:pPr>
      <w:r>
        <w:rPr>
          <w:rFonts w:eastAsia="Calibri"/>
          <w:b/>
          <w:kern w:val="2"/>
          <w:szCs w:val="24"/>
        </w:rPr>
        <w:t>ŠVIETIMO ĮSTAIGŲ DARBAS VASAROS LAIKOTARPIU</w:t>
      </w:r>
    </w:p>
    <w:p>
      <w:pPr>
        <w:tabs>
          <w:tab w:val="left" w:pos="360"/>
          <w:tab w:val="left" w:pos="720"/>
        </w:tabs>
        <w:spacing w:line="360" w:lineRule="auto"/>
        <w:ind w:firstLine="630"/>
        <w:jc w:val="both"/>
        <w:rPr>
          <w:rFonts w:eastAsia="Calibri"/>
          <w:b/>
          <w:kern w:val="2"/>
          <w:szCs w:val="24"/>
        </w:rPr>
      </w:pPr>
    </w:p>
    <w:p>
      <w:pPr>
        <w:tabs>
          <w:tab w:val="left" w:pos="360"/>
        </w:tabs>
        <w:spacing w:line="360" w:lineRule="auto"/>
        <w:ind w:firstLine="630"/>
        <w:jc w:val="both"/>
        <w:rPr>
          <w:rFonts w:eastAsia="Calibri"/>
          <w:bCs/>
        </w:rPr>
      </w:pPr>
      <w:r>
        <w:rPr>
          <w:rFonts w:eastAsia="Calibri"/>
          <w:bCs/>
          <w:kern w:val="2"/>
          <w:szCs w:val="24"/>
          <w14:ligatures w14:val="standardContextual"/>
        </w:rPr>
        <w:t>25</w:t>
      </w:r>
      <w:r>
        <w:rPr>
          <w:rFonts w:eastAsia="Calibri"/>
          <w:bCs/>
          <w:kern w:val="2"/>
          <w:szCs w:val="24"/>
          <w14:ligatures w14:val="standardContextual"/>
        </w:rPr>
        <w:t>.</w:t>
        <w:tab/>
      </w:r>
      <w:r>
        <w:rPr>
          <w:rFonts w:eastAsia="Calibri"/>
          <w:bCs/>
        </w:rPr>
        <w:t xml:space="preserve"> Vasaros laikotarpiu vyksta vaikų priežiūra, ugdytiniams organizuojama pažintinė, patirtinė ir kitos veiklos. </w:t>
      </w:r>
    </w:p>
    <w:p>
      <w:pPr>
        <w:tabs>
          <w:tab w:val="left" w:pos="360"/>
        </w:tabs>
        <w:spacing w:line="360" w:lineRule="auto"/>
        <w:ind w:firstLine="630"/>
        <w:jc w:val="both"/>
        <w:rPr>
          <w:rFonts w:eastAsia="Calibri"/>
          <w:bCs/>
          <w:strike/>
        </w:rPr>
      </w:pPr>
      <w:r>
        <w:rPr>
          <w:rFonts w:eastAsia="Calibri"/>
          <w:bCs/>
          <w:kern w:val="2"/>
          <w:szCs w:val="24"/>
          <w14:ligatures w14:val="standardContextual"/>
        </w:rPr>
        <w:t>26</w:t>
      </w:r>
      <w:r>
        <w:rPr>
          <w:rFonts w:eastAsia="Calibri"/>
          <w:bCs/>
          <w:kern w:val="2"/>
          <w:szCs w:val="24"/>
          <w14:ligatures w14:val="standardContextual"/>
        </w:rPr>
        <w:t>.</w:t>
        <w:tab/>
      </w:r>
      <w:r>
        <w:rPr>
          <w:rFonts w:eastAsia="Calibri"/>
          <w:bCs/>
        </w:rPr>
        <w:t xml:space="preserve"> Tėvai (globėjai,</w:t>
      </w:r>
      <w:r>
        <w:t xml:space="preserve"> įtėviai, rūpintojai</w:t>
      </w:r>
      <w:r>
        <w:rPr>
          <w:rFonts w:eastAsia="Calibri"/>
          <w:bCs/>
        </w:rPr>
        <w:t xml:space="preserve">) dėl vaiko lankymo Švietimo įstaigą vasaros laikotarpiu Švietimo įstaigos direktoriui pateikia prašymą iki einamųjų metų gegužės 1 d.  </w:t>
      </w:r>
    </w:p>
    <w:p>
      <w:pPr>
        <w:tabs>
          <w:tab w:val="left" w:pos="360"/>
          <w:tab w:val="left" w:pos="851"/>
        </w:tabs>
        <w:spacing w:line="360" w:lineRule="auto"/>
        <w:ind w:firstLine="630"/>
        <w:jc w:val="both"/>
        <w:rPr>
          <w:rFonts w:eastAsia="Calibri"/>
          <w:bCs/>
        </w:rPr>
      </w:pPr>
      <w:r>
        <w:rPr>
          <w:rFonts w:eastAsia="Calibri"/>
          <w:bCs/>
          <w:kern w:val="2"/>
          <w:szCs w:val="24"/>
          <w14:ligatures w14:val="standardContextual"/>
        </w:rPr>
        <w:t>27</w:t>
      </w:r>
      <w:r>
        <w:rPr>
          <w:rFonts w:eastAsia="Calibri"/>
          <w:bCs/>
          <w:kern w:val="2"/>
          <w:szCs w:val="24"/>
          <w14:ligatures w14:val="standardContextual"/>
        </w:rPr>
        <w:t>.</w:t>
        <w:tab/>
      </w:r>
      <w:r>
        <w:rPr>
          <w:bCs/>
          <w:lang w:eastAsia="lt-LT"/>
        </w:rPr>
        <w:t xml:space="preserve"> Švietimo įstaigos direktorius, įvertinęs žmogiškuosius Švietimo įstaigos išteklius, įstaigoje planuojamus remonto darbus ir </w:t>
      </w:r>
      <w:r>
        <w:rPr>
          <w:rFonts w:eastAsia="Calibri"/>
          <w:bCs/>
        </w:rPr>
        <w:t>ikimokyklinio / priešmokyklinio ugdymo</w:t>
      </w:r>
      <w:r>
        <w:rPr>
          <w:bCs/>
          <w:lang w:eastAsia="lt-LT"/>
        </w:rPr>
        <w:t xml:space="preserve"> grupes lankančių vaikų tėvų (globėjų, įtėvių, </w:t>
      </w:r>
      <w:r>
        <w:t>rūpintojų</w:t>
      </w:r>
      <w:r>
        <w:rPr>
          <w:bCs/>
          <w:lang w:eastAsia="lt-LT"/>
        </w:rPr>
        <w:t xml:space="preserve">) poreikius vasaros laikotarpiu, iki gegužės 15 d. Savivaldybės administracijos Kultūros ir švietimo skyriui pateikia motyvuotą prašymą dėl </w:t>
      </w:r>
      <w:r>
        <w:rPr>
          <w:rFonts w:eastAsia="Calibri"/>
          <w:bCs/>
        </w:rPr>
        <w:t>ikimokyklinio / priešmokyklinio ugdymo</w:t>
      </w:r>
      <w:r>
        <w:rPr>
          <w:bCs/>
          <w:lang w:eastAsia="lt-LT"/>
        </w:rPr>
        <w:t xml:space="preserve"> grupės (-ių) darbo vasaros laikotarpiu.</w:t>
      </w:r>
      <w:r>
        <w:rPr>
          <w:rFonts w:eastAsia="Calibri"/>
          <w:bCs/>
        </w:rPr>
        <w:t xml:space="preserve"> Švietimo įstaiga, planuojanti laikinai perkelti ugdytinius ir (ar) darbuotojus į kitą Švietimo įstaigą, prašyme nurodo perkėlimo laikotarpį, perkėlimo priežastis ir Švietimo įstaigą, kuri sutinka laikinai priimti ugdytinius ir (ar) darbuotojus.</w:t>
      </w:r>
    </w:p>
    <w:p>
      <w:pPr>
        <w:tabs>
          <w:tab w:val="left" w:pos="360"/>
        </w:tabs>
        <w:spacing w:line="360" w:lineRule="auto"/>
        <w:ind w:firstLine="630"/>
        <w:jc w:val="both"/>
        <w:rPr>
          <w:bCs/>
          <w:lang w:eastAsia="lt-LT"/>
        </w:rPr>
      </w:pPr>
      <w:r>
        <w:rPr>
          <w:bCs/>
          <w:kern w:val="2"/>
          <w:szCs w:val="24"/>
          <w:lang w:eastAsia="lt-LT"/>
          <w14:ligatures w14:val="standardContextual"/>
        </w:rPr>
        <w:t>28</w:t>
      </w:r>
      <w:r>
        <w:rPr>
          <w:bCs/>
          <w:kern w:val="2"/>
          <w:szCs w:val="24"/>
          <w:lang w:eastAsia="lt-LT"/>
          <w14:ligatures w14:val="standardContextual"/>
        </w:rPr>
        <w:t>.</w:t>
        <w:tab/>
      </w:r>
      <w:r>
        <w:rPr>
          <w:bCs/>
          <w:lang w:eastAsia="lt-LT"/>
        </w:rPr>
        <w:t xml:space="preserve"> Savivaldybės meras, atsižvelgdamas į Švietimo įstaigų direktorių prašymus, iki gegužės 20 d. potvarkiu tvirtina Švietimo įstaigų </w:t>
      </w:r>
      <w:r>
        <w:rPr>
          <w:rFonts w:eastAsia="Calibri"/>
          <w:bCs/>
        </w:rPr>
        <w:t>ikimokyklinio / priešmokyklinio</w:t>
      </w:r>
      <w:r>
        <w:rPr>
          <w:bCs/>
          <w:lang w:eastAsia="lt-LT"/>
        </w:rPr>
        <w:t xml:space="preserve"> ugdymo grupių darbo grafiką vasaros laikotarpiu.</w:t>
      </w:r>
      <w:r>
        <w:t xml:space="preserve"> </w:t>
      </w:r>
    </w:p>
    <w:p>
      <w:pPr>
        <w:tabs>
          <w:tab w:val="left" w:pos="360"/>
        </w:tabs>
        <w:spacing w:line="360" w:lineRule="auto"/>
        <w:ind w:firstLine="630"/>
        <w:jc w:val="both"/>
        <w:rPr>
          <w:rFonts w:eastAsia="Calibri"/>
          <w:bCs/>
        </w:rPr>
      </w:pPr>
      <w:r>
        <w:rPr>
          <w:rFonts w:eastAsia="Calibri"/>
          <w:bCs/>
          <w:kern w:val="2"/>
          <w:szCs w:val="24"/>
          <w14:ligatures w14:val="standardContextual"/>
        </w:rPr>
        <w:t>29</w:t>
      </w:r>
      <w:r>
        <w:rPr>
          <w:rFonts w:eastAsia="Calibri"/>
          <w:bCs/>
          <w:kern w:val="2"/>
          <w:szCs w:val="24"/>
          <w14:ligatures w14:val="standardContextual"/>
        </w:rPr>
        <w:t>.</w:t>
        <w:tab/>
      </w:r>
      <w:r>
        <w:rPr>
          <w:rFonts w:eastAsia="Calibri"/>
          <w:bCs/>
          <w:color w:val="FF0000"/>
        </w:rPr>
        <w:t xml:space="preserve"> </w:t>
      </w:r>
      <w:r>
        <w:rPr>
          <w:rFonts w:eastAsia="Calibri"/>
          <w:bCs/>
        </w:rPr>
        <w:t xml:space="preserve">Švietimo įstaigos direktorius, atsiradus papildomam poreikiui ir esant laisvoms vietoms jau suformuotose grupėse, gali tenkinti tėvų (globėjų, įtėvių, </w:t>
      </w:r>
      <w:r>
        <w:t>rūpintojų</w:t>
      </w:r>
      <w:r>
        <w:rPr>
          <w:rFonts w:eastAsia="Calibri"/>
          <w:bCs/>
        </w:rPr>
        <w:t>) prašymus ir po einamųjų metų birželio 1 d.</w:t>
      </w:r>
    </w:p>
    <w:p>
      <w:pPr>
        <w:tabs>
          <w:tab w:val="left" w:pos="360"/>
        </w:tabs>
        <w:spacing w:line="360" w:lineRule="auto"/>
        <w:ind w:firstLine="630"/>
        <w:jc w:val="both"/>
      </w:pPr>
      <w:r>
        <w:rPr>
          <w:kern w:val="2"/>
          <w:szCs w:val="24"/>
          <w14:ligatures w14:val="standardContextual"/>
        </w:rPr>
        <w:t>30</w:t>
      </w:r>
      <w:r>
        <w:rPr>
          <w:kern w:val="2"/>
          <w:szCs w:val="24"/>
          <w14:ligatures w14:val="standardContextual"/>
        </w:rPr>
        <w:t>.</w:t>
        <w:tab/>
      </w:r>
      <w:r>
        <w:rPr>
          <w:rFonts w:eastAsia="Calibri"/>
          <w:bCs/>
        </w:rPr>
        <w:t xml:space="preserve">Tėvų (globėjų, įtėvių, </w:t>
      </w:r>
      <w:r>
        <w:t>rūpintojų</w:t>
      </w:r>
      <w:r>
        <w:rPr>
          <w:rFonts w:eastAsia="Calibri"/>
          <w:bCs/>
        </w:rPr>
        <w:t xml:space="preserve">), turinčių įsiskolinimų už vaiko išlaikymą Švietimo įstaigoje, prašymai dėl vaiko lankymo Švietimo įstaigą vasaros laikotarpiu, netenkinami.  </w:t>
      </w:r>
    </w:p>
    <w:p>
      <w:pPr>
        <w:tabs>
          <w:tab w:val="left" w:pos="360"/>
        </w:tabs>
        <w:spacing w:line="360" w:lineRule="auto"/>
        <w:ind w:firstLine="630"/>
        <w:jc w:val="both"/>
        <w:rPr>
          <w:rFonts w:eastAsia="Calibri"/>
          <w:b/>
        </w:rPr>
      </w:pPr>
    </w:p>
    <w:p>
      <w:pPr>
        <w:tabs>
          <w:tab w:val="left" w:pos="360"/>
        </w:tabs>
        <w:ind w:firstLine="629"/>
        <w:jc w:val="center"/>
        <w:rPr>
          <w:rFonts w:eastAsia="Calibri"/>
          <w:b/>
        </w:rPr>
      </w:pPr>
      <w:r>
        <w:rPr>
          <w:rFonts w:eastAsia="Calibri"/>
          <w:b/>
        </w:rPr>
        <w:t>V</w:t>
      </w:r>
      <w:r>
        <w:rPr>
          <w:rFonts w:eastAsia="Calibri"/>
          <w:b/>
        </w:rPr>
        <w:t xml:space="preserve"> SKYRIUS</w:t>
      </w:r>
    </w:p>
    <w:p>
      <w:pPr>
        <w:tabs>
          <w:tab w:val="left" w:pos="360"/>
        </w:tabs>
        <w:ind w:firstLine="629"/>
        <w:jc w:val="center"/>
        <w:rPr>
          <w:rFonts w:eastAsia="Calibri"/>
          <w:b/>
          <w:kern w:val="2"/>
          <w:szCs w:val="24"/>
        </w:rPr>
      </w:pPr>
      <w:r>
        <w:rPr>
          <w:rFonts w:eastAsia="Calibri"/>
          <w:b/>
          <w:kern w:val="2"/>
          <w:szCs w:val="24"/>
        </w:rPr>
        <w:t>GRUPIŲ ŠVIETIMO ĮSTAIGOSE FORMAVIMAS VASAROS LAIKOTARPIU</w:t>
      </w:r>
    </w:p>
    <w:p>
      <w:pPr>
        <w:tabs>
          <w:tab w:val="left" w:pos="360"/>
        </w:tabs>
        <w:spacing w:line="360" w:lineRule="auto"/>
        <w:ind w:firstLine="630"/>
        <w:jc w:val="both"/>
        <w:rPr>
          <w:rFonts w:eastAsia="Calibri"/>
          <w:b/>
          <w:kern w:val="2"/>
          <w:szCs w:val="24"/>
        </w:rPr>
      </w:pPr>
    </w:p>
    <w:p>
      <w:pPr>
        <w:tabs>
          <w:tab w:val="left" w:pos="360"/>
        </w:tabs>
        <w:spacing w:line="360" w:lineRule="auto"/>
        <w:ind w:firstLine="630"/>
        <w:jc w:val="both"/>
        <w:rPr>
          <w:rFonts w:eastAsia="Calibri"/>
          <w:bCs/>
        </w:rPr>
      </w:pPr>
      <w:r>
        <w:rPr>
          <w:rFonts w:eastAsia="Calibri"/>
          <w:bCs/>
          <w:kern w:val="2"/>
          <w:szCs w:val="24"/>
          <w14:ligatures w14:val="standardContextual"/>
        </w:rPr>
        <w:t>31</w:t>
      </w:r>
      <w:r>
        <w:rPr>
          <w:rFonts w:eastAsia="Calibri"/>
          <w:bCs/>
          <w:kern w:val="2"/>
          <w:szCs w:val="24"/>
          <w14:ligatures w14:val="standardContextual"/>
        </w:rPr>
        <w:t>.</w:t>
        <w:tab/>
      </w:r>
      <w:r>
        <w:rPr>
          <w:rFonts w:eastAsia="Calibri"/>
          <w:bCs/>
        </w:rPr>
        <w:t xml:space="preserve"> Grupės vasaros laikotarpiu formuojamos naujai ir (ar) sumažėjus vaikų skaičiui performuojamos, todėl vaikai gali būti perkeliami  iš vienos grupės į kitas grupes. </w:t>
      </w:r>
    </w:p>
    <w:p>
      <w:pPr>
        <w:tabs>
          <w:tab w:val="left" w:pos="360"/>
        </w:tabs>
        <w:spacing w:line="360" w:lineRule="auto"/>
        <w:ind w:firstLine="630"/>
        <w:jc w:val="both"/>
        <w:rPr>
          <w:rFonts w:eastAsia="Calibri"/>
          <w:bCs/>
        </w:rPr>
      </w:pPr>
      <w:r>
        <w:rPr>
          <w:rFonts w:eastAsia="Calibri"/>
          <w:bCs/>
          <w:kern w:val="2"/>
          <w:szCs w:val="24"/>
          <w14:ligatures w14:val="standardContextual"/>
        </w:rPr>
        <w:t>32</w:t>
      </w:r>
      <w:r>
        <w:rPr>
          <w:rFonts w:eastAsia="Calibri"/>
          <w:bCs/>
          <w:kern w:val="2"/>
          <w:szCs w:val="24"/>
          <w14:ligatures w14:val="standardContextual"/>
        </w:rPr>
        <w:t>.</w:t>
        <w:tab/>
      </w:r>
      <w:r>
        <w:rPr>
          <w:rFonts w:eastAsia="Calibri"/>
          <w:bCs/>
        </w:rPr>
        <w:t>Grupės formuojamos iš to paties arba skirtingo amžiaus vaikų, užtikrinant vaiko dienos ir ugdymo režimo fiziologinius ir amžiaus ypatumus, nepažeidžiant Lietuvos higienos normos HN 75:2016 „Ikimokyklinio ir priešmokyklinio ugdymo programų vykdymo bendrieji sveikatos saugos reikalavimai“ reikalavimų.</w:t>
      </w:r>
      <w:r>
        <w:rPr>
          <w:rFonts w:eastAsia="Calibri"/>
          <w:b/>
        </w:rPr>
        <w:t xml:space="preserve"> </w:t>
      </w:r>
    </w:p>
    <w:p>
      <w:pPr>
        <w:tabs>
          <w:tab w:val="left" w:pos="360"/>
          <w:tab w:val="left" w:pos="851"/>
        </w:tabs>
        <w:spacing w:line="360" w:lineRule="auto"/>
        <w:ind w:firstLine="630"/>
        <w:jc w:val="both"/>
        <w:rPr>
          <w:bCs/>
          <w:color w:val="000000"/>
          <w:lang w:eastAsia="lt-LT"/>
        </w:rPr>
      </w:pPr>
      <w:r>
        <w:rPr>
          <w:bCs/>
          <w:kern w:val="2"/>
          <w:szCs w:val="24"/>
          <w:lang w:eastAsia="lt-LT"/>
          <w14:ligatures w14:val="standardContextual"/>
        </w:rPr>
        <w:t>33</w:t>
      </w:r>
      <w:r>
        <w:rPr>
          <w:bCs/>
          <w:kern w:val="2"/>
          <w:szCs w:val="24"/>
          <w:lang w:eastAsia="lt-LT"/>
          <w14:ligatures w14:val="standardContextual"/>
        </w:rPr>
        <w:t>.</w:t>
        <w:tab/>
      </w:r>
      <w:r>
        <w:rPr>
          <w:rFonts w:eastAsia="Calibri"/>
          <w:bCs/>
          <w:color w:val="000000"/>
        </w:rPr>
        <w:t xml:space="preserve">Jeigu pateiktų prašymų </w:t>
      </w:r>
      <w:r>
        <w:rPr>
          <w:bCs/>
          <w:color w:val="000000"/>
          <w:lang w:eastAsia="lt-LT"/>
        </w:rPr>
        <w:t>lankyti Švietimo įstaigą vasaros laikotarpiu</w:t>
      </w:r>
      <w:r>
        <w:rPr>
          <w:rFonts w:eastAsia="Calibri"/>
          <w:bCs/>
          <w:color w:val="000000"/>
        </w:rPr>
        <w:t xml:space="preserve"> yra daugiau</w:t>
      </w:r>
      <w:r>
        <w:rPr>
          <w:bCs/>
          <w:color w:val="000000"/>
          <w:lang w:eastAsia="lt-LT"/>
        </w:rPr>
        <w:t xml:space="preserve"> nei gali patenkinti Švietimo įstaiga, pirmumo teisė suteikiama </w:t>
      </w:r>
      <w:r>
        <w:rPr>
          <w:bCs/>
          <w:lang w:eastAsia="lt-LT"/>
        </w:rPr>
        <w:t xml:space="preserve">vadovaujantis šio Aprašo 8 punkte nustatyta prioritetų  </w:t>
      </w:r>
      <w:r>
        <w:rPr>
          <w:bCs/>
          <w:color w:val="000000"/>
          <w:lang w:eastAsia="lt-LT"/>
        </w:rPr>
        <w:t>tvarka.</w:t>
      </w:r>
    </w:p>
    <w:p>
      <w:pPr>
        <w:tabs>
          <w:tab w:val="left" w:pos="360"/>
          <w:tab w:val="left" w:pos="851"/>
        </w:tabs>
        <w:spacing w:line="360" w:lineRule="auto"/>
        <w:jc w:val="both"/>
        <w:rPr>
          <w:bCs/>
          <w:color w:val="000000"/>
          <w:kern w:val="2"/>
          <w:szCs w:val="24"/>
          <w:lang w:eastAsia="lt-LT"/>
        </w:rPr>
      </w:pPr>
    </w:p>
    <w:p>
      <w:pPr>
        <w:tabs>
          <w:tab w:val="left" w:pos="360"/>
          <w:tab w:val="left" w:pos="720"/>
        </w:tabs>
        <w:ind w:firstLine="629"/>
        <w:jc w:val="center"/>
        <w:rPr>
          <w:b/>
          <w:bCs/>
          <w:caps/>
          <w:kern w:val="2"/>
          <w:szCs w:val="24"/>
          <w:lang w:eastAsia="zh-CN"/>
        </w:rPr>
      </w:pPr>
      <w:r>
        <w:rPr>
          <w:b/>
          <w:bCs/>
          <w:caps/>
          <w:kern w:val="2"/>
          <w:szCs w:val="24"/>
          <w:lang w:eastAsia="zh-CN"/>
        </w:rPr>
        <w:t>VI</w:t>
      </w:r>
      <w:r>
        <w:rPr>
          <w:b/>
          <w:bCs/>
          <w:caps/>
          <w:kern w:val="2"/>
          <w:szCs w:val="24"/>
          <w:lang w:eastAsia="zh-CN"/>
        </w:rPr>
        <w:t xml:space="preserve"> SKYRIUS</w:t>
      </w:r>
    </w:p>
    <w:p>
      <w:pPr>
        <w:tabs>
          <w:tab w:val="left" w:pos="360"/>
          <w:tab w:val="left" w:pos="720"/>
        </w:tabs>
        <w:ind w:firstLine="629"/>
        <w:jc w:val="center"/>
        <w:rPr>
          <w:kern w:val="2"/>
          <w:szCs w:val="24"/>
          <w:lang w:eastAsia="zh-CN"/>
        </w:rPr>
      </w:pPr>
      <w:r>
        <w:rPr>
          <w:b/>
          <w:bCs/>
          <w:caps/>
          <w:kern w:val="2"/>
          <w:szCs w:val="24"/>
          <w:lang w:eastAsia="zh-CN"/>
        </w:rPr>
        <w:t>BAIGIAMOSIOS NUOSTATOS</w:t>
      </w:r>
    </w:p>
    <w:p>
      <w:pPr>
        <w:tabs>
          <w:tab w:val="left" w:pos="360"/>
          <w:tab w:val="left" w:pos="720"/>
        </w:tabs>
        <w:suppressAutoHyphens/>
        <w:spacing w:line="360" w:lineRule="auto"/>
        <w:ind w:firstLine="630"/>
        <w:jc w:val="both"/>
        <w:rPr>
          <w:kern w:val="2"/>
          <w:szCs w:val="24"/>
          <w:lang w:eastAsia="zh-CN"/>
        </w:rPr>
      </w:pPr>
    </w:p>
    <w:p>
      <w:pPr>
        <w:tabs>
          <w:tab w:val="left" w:pos="360"/>
          <w:tab w:val="left" w:pos="720"/>
        </w:tabs>
        <w:suppressAutoHyphens/>
        <w:spacing w:line="360" w:lineRule="auto"/>
        <w:ind w:firstLine="630"/>
        <w:jc w:val="both"/>
        <w:rPr>
          <w:rFonts w:eastAsia="Lucida Sans Unicode"/>
          <w:lang w:eastAsia="zh-CN"/>
        </w:rPr>
      </w:pPr>
      <w:r>
        <w:rPr>
          <w:rFonts w:eastAsia="Lucida Sans Unicode"/>
          <w:kern w:val="2"/>
          <w:szCs w:val="24"/>
          <w:lang w:eastAsia="zh-CN"/>
          <w14:ligatures w14:val="standardContextual"/>
        </w:rPr>
        <w:t>34</w:t>
      </w:r>
      <w:r>
        <w:rPr>
          <w:rFonts w:eastAsia="Lucida Sans Unicode"/>
          <w:kern w:val="2"/>
          <w:szCs w:val="24"/>
          <w:lang w:eastAsia="zh-CN"/>
          <w14:ligatures w14:val="standardContextual"/>
        </w:rPr>
        <w:t>.</w:t>
        <w:tab/>
      </w:r>
      <w:r>
        <w:rPr>
          <w:lang w:eastAsia="zh-CN"/>
        </w:rPr>
        <w:t xml:space="preserve">Aprašo įgyvendinimo priežiūrą atlieka Savivaldybės administracijos Kultūros ir švietimo skyrius, kuris </w:t>
      </w:r>
      <w:r>
        <w:rPr>
          <w:rFonts w:eastAsia="Lucida Sans Unicode"/>
          <w:lang w:eastAsia="zh-CN"/>
        </w:rPr>
        <w:t>vykdo ikimokyklinio ugdymo poreikio ir pasiūlos stebėseną.</w:t>
      </w:r>
    </w:p>
    <w:p>
      <w:pPr>
        <w:tabs>
          <w:tab w:val="left" w:pos="360"/>
          <w:tab w:val="left" w:pos="720"/>
        </w:tabs>
        <w:suppressAutoHyphens/>
        <w:spacing w:line="360" w:lineRule="auto"/>
        <w:ind w:firstLine="630"/>
        <w:jc w:val="both"/>
        <w:rPr>
          <w:lang w:eastAsia="zh-CN"/>
        </w:rPr>
      </w:pPr>
      <w:r>
        <w:rPr>
          <w:kern w:val="2"/>
          <w:szCs w:val="24"/>
          <w:lang w:eastAsia="zh-CN"/>
          <w14:ligatures w14:val="standardContextual"/>
        </w:rPr>
        <w:t>35</w:t>
      </w:r>
      <w:r>
        <w:rPr>
          <w:kern w:val="2"/>
          <w:szCs w:val="24"/>
          <w:lang w:eastAsia="zh-CN"/>
          <w14:ligatures w14:val="standardContextual"/>
        </w:rPr>
        <w:t>.</w:t>
        <w:tab/>
      </w:r>
      <w:r>
        <w:rPr>
          <w:lang w:eastAsia="zh-CN"/>
        </w:rPr>
        <w:t xml:space="preserve"> Už Aprašo nuostatų įgyvendinimą atsako Švietimo įstaigos direktorius.</w:t>
      </w:r>
    </w:p>
    <w:p>
      <w:pPr>
        <w:tabs>
          <w:tab w:val="left" w:pos="360"/>
          <w:tab w:val="left" w:pos="720"/>
        </w:tabs>
        <w:suppressAutoHyphens/>
        <w:spacing w:line="360" w:lineRule="auto"/>
        <w:ind w:firstLine="630"/>
        <w:jc w:val="both"/>
      </w:pPr>
      <w:r>
        <w:rPr>
          <w:kern w:val="2"/>
          <w:szCs w:val="24"/>
          <w:lang w:eastAsia="zh-CN"/>
          <w14:ligatures w14:val="standardContextual"/>
        </w:rPr>
        <w:t>36</w:t>
      </w:r>
      <w:r>
        <w:rPr>
          <w:kern w:val="2"/>
          <w:szCs w:val="24"/>
          <w:lang w:eastAsia="zh-CN"/>
          <w14:ligatures w14:val="standardContextual"/>
        </w:rPr>
        <w:t>.</w:t>
        <w:tab/>
      </w:r>
      <w:r>
        <w:rPr>
          <w:lang w:eastAsia="zh-CN"/>
        </w:rPr>
        <w:t xml:space="preserve"> Aprašo pakeitimus ar naują redakciją tvirtina Savivaldybės taryba.</w:t>
      </w:r>
    </w:p>
    <w:p>
      <w:pPr>
        <w:tabs>
          <w:tab w:val="left" w:pos="680"/>
          <w:tab w:val="left" w:pos="1276"/>
        </w:tabs>
        <w:spacing w:line="360" w:lineRule="auto"/>
        <w:ind w:firstLine="567"/>
        <w:jc w:val="both"/>
      </w:pPr>
      <w:r>
        <w:rPr>
          <w:szCs w:val="24"/>
        </w:rPr>
        <w:t>37</w:t>
      </w:r>
      <w:r>
        <w:rPr>
          <w:szCs w:val="24"/>
        </w:rPr>
        <w:t>. Molėtų rajono savivaldybės mero įgaliotas Mokyklos asmuo gali paskirti kitus atsakingus Mokyklos asmenis, kurie būtų įgalioti administruoti priėmimo procesą per CPIS ir konsultuoti prašymo teikėjus dėl ikimokyklinio ugdymo priėmimo tvarkos.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680"/>
          <w:tab w:val="left" w:pos="1276"/>
        </w:tabs>
        <w:spacing w:line="360" w:lineRule="auto"/>
        <w:ind w:firstLine="567"/>
        <w:jc w:val="both"/>
        <w:rPr>
          <w:lang w:eastAsia="zh-CN"/>
        </w:rPr>
      </w:pPr>
      <w:r>
        <w:rPr>
          <w:szCs w:val="24"/>
        </w:rPr>
        <w:t>38</w:t>
      </w:r>
      <w:r>
        <w:rPr>
          <w:szCs w:val="24"/>
        </w:rPr>
        <w:t>. Pasikeitus Apraše nurodytiems teisės aktams, tiesiogiai taikomos naujos šių teisės aktų nuostatos.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tabs>
          <w:tab w:val="left" w:pos="360"/>
        </w:tabs>
        <w:spacing w:line="360" w:lineRule="auto"/>
        <w:ind w:firstLine="630"/>
        <w:jc w:val="center"/>
        <w:rPr>
          <w:szCs w:val="24"/>
        </w:rPr>
      </w:pPr>
      <w:r>
        <w:rPr>
          <w:kern w:val="2"/>
          <w:szCs w:val="24"/>
          <w:lang w:eastAsia="zh-CN"/>
        </w:rPr>
        <w:t>__________________________</w:t>
      </w:r>
    </w:p>
    <w:p/>
    <w:p/>
    <w:p/>
    <w:p>
      <w:pPr>
        <w:pStyle w:val="PlainText"/>
        <w:rPr>
          <w:rFonts w:ascii="Times New Roman" w:eastAsia="MS Mincho" w:hAnsi="Times New Roman"/>
          <w:sz w:val="20"/>
          <w:b/>
          <w:iCs/>
        </w:rPr>
      </w:pPr>
      <w:r>
        <w:rPr>
          <w:rFonts w:ascii="Times New Roman" w:eastAsia="MS Mincho" w:hAnsi="Times New Roman"/>
          <w:sz w:val="20"/>
          <w:b/>
          <w:iCs/>
        </w:rPr>
        <w:t>Priedų pakeitimai:</w:t>
      </w:r>
    </w:p>
    <w:p/>
    <w:p>
      <w:pPr>
        <w:pStyle w:val="PlainText"/>
        <w:rPr>
          <w:rFonts w:ascii="Times New Roman" w:eastAsia="MS Mincho" w:hAnsi="Times New Roman"/>
          <w:sz w:val="20"/>
          <w:iCs/>
        </w:rPr>
      </w:pPr>
      <w:r>
        <w:rPr>
          <w:rFonts w:ascii="Times New Roman" w:eastAsia="MS Mincho" w:hAnsi="Times New Roman"/>
          <w:sz w:val="20"/>
          <w:iCs/>
        </w:rPr>
        <w:t>2025_03_27_B1-69_priedas</w:t>
      </w:r>
    </w:p>
    <w:p>
      <w:pPr>
        <w:pStyle w:val="PlainText"/>
        <w:rPr>
          <w:rFonts w:ascii="Times New Roman" w:eastAsia="MS Mincho" w:hAnsi="Times New Roman"/>
          <w:sz w:val="20"/>
          <w:i/>
          <w:iCs/>
        </w:rPr>
      </w:pPr>
      <w:r>
        <w:rPr>
          <w:rFonts w:ascii="Times New Roman" w:eastAsia="MS Mincho" w:hAnsi="Times New Roman"/>
          <w:sz w:val="20"/>
          <w:i/>
          <w:iCs/>
        </w:rPr>
        <w:t>Neteko galios nuo: 2026-03-28</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0832e6429be11f1a552c76556910e9c">
        <w:r w:rsidRPr="00532B9F">
          <w:rPr>
            <w:rFonts w:ascii="Times New Roman" w:eastAsia="MS Mincho" w:hAnsi="Times New Roman"/>
            <w:sz w:val="20"/>
            <w:i/>
            <w:iCs/>
            <w:color w:val="0000FF" w:themeColor="hyperlink"/>
            <w:u w:val="single"/>
          </w:rPr>
          <w:t>B1-54</w:t>
        </w:r>
      </w:fldSimple>
      <w:r>
        <w:rPr>
          <w:rFonts w:ascii="Times New Roman" w:eastAsia="MS Mincho" w:hAnsi="Times New Roman"/>
          <w:sz w:val="20"/>
          <w:i/>
          <w:iCs/>
        </w:rPr>
        <w:t>,
2026-03-26,
paskelbta TAR 2026-03-27, i. k. 2026-04942        </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Molėtų rajono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40832e6429be11f1a552c76556910e9c">
        <w:r w:rsidRPr="00532B9F">
          <w:rPr>
            <w:rFonts w:ascii="Times New Roman" w:eastAsia="MS Mincho" w:hAnsi="Times New Roman"/>
            <w:sz w:val="20"/>
            <w:iCs/>
            <w:color w:val="0000FF" w:themeColor="hyperlink"/>
            <w:u w:val="single"/>
          </w:rPr>
          <w:t>B1-54</w:t>
        </w:r>
      </w:fldSimple>
      <w:r>
        <w:rPr>
          <w:rFonts w:ascii="Times New Roman" w:eastAsia="MS Mincho" w:hAnsi="Times New Roman"/>
          <w:sz w:val="20"/>
          <w:iCs/>
        </w:rPr>
        <w:t>,
2026-03-26,
paskelbta TAR 2026-03-27, i. k. 2026-04942                </w:t>
      </w:r>
    </w:p>
    <w:p>
      <w:pPr>
        <w:jc w:val="both"/>
        <w:rPr>
          <w:rFonts w:ascii="Times New Roman" w:hAnsi="Times New Roman"/>
        </w:rPr>
      </w:pPr>
      <w:r>
        <w:rPr>
          <w:rFonts w:ascii="Times New Roman" w:hAnsi="Times New Roman"/>
          <w:sz w:val="20"/>
        </w:rPr>
        <w:t>Dėl Molėtų rajono savivaldybės tarybos 2025 m. kovo 27 d. sprendimo Nr. B1-69 „Dėl Molėtų rajono savivaldybės vaikų priėmimo į ikimokyklinio ugdymo grupes tvarkos aprašo patvirtinimo“ pakeitimo</w:t>
      </w:r>
    </w:p>
    <w:p>
      <w:pPr>
        <w:jc w:val="both"/>
        <w:rPr>
          <w:rFonts w:ascii="Times New Roman" w:hAnsi="Times New Roman"/>
          <w:sz w:val="20"/>
        </w:rPr>
      </w:pPr>
    </w:p>
    <w:p>
      <w:pPr>
        <w:widowControl w:val="0"/>
        <w:rPr>
          <w:rFonts w:ascii="Times New Roman" w:hAnsi="Times New Roman"/>
          <w:snapToGrid w:val="0"/>
        </w:rPr>
      </w:pPr>
    </w:p>
    <w:sectPr>
      <w:pgSz w:w="11906" w:h="16838" w:code="9"/>
      <w:pgMar w:top="1134" w:right="567" w:bottom="1134" w:left="1701" w:header="851" w:footer="454" w:gutter="0"/>
      <w:pgNumType w:start="1"/>
      <w:cols w:space="708"/>
      <w:formProt w:val="0"/>
      <w:titlePg/>
      <w:docGrid w:linePitch="360"/>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pPr>
        <w:rPr>
          <w:szCs w:val="24"/>
        </w:rPr>
      </w:pPr>
      <w:r>
        <w:rPr>
          <w:szCs w:val="24"/>
        </w:rPr>
        <w:separator/>
      </w:r>
    </w:p>
  </w:endnote>
  <w:endnote w:type="continuationSeparator" w:id="0">
    <w:p>
      <w:pPr>
        <w:rPr>
          <w:szCs w:val="24"/>
        </w:rPr>
      </w:pPr>
      <w:r>
        <w:rPr>
          <w:szCs w:val="24"/>
        </w:rP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Cs w:val="24"/>
      </w:rPr>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Cs w:val="24"/>
      </w:rPr>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Cs w:val="24"/>
      </w:rPr>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Cs w:val="24"/>
      </w:rPr>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Cs w:val="24"/>
      </w:rPr>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Cs w:val="24"/>
      </w:rPr>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pPr>
        <w:rPr>
          <w:szCs w:val="24"/>
        </w:rPr>
      </w:pPr>
      <w:r>
        <w:rPr>
          <w:szCs w:val="24"/>
        </w:rPr>
        <w:separator/>
      </w:r>
    </w:p>
  </w:footnote>
  <w:footnote w:type="continuationSeparator" w:id="0">
    <w:p>
      <w:pPr>
        <w:rPr>
          <w:szCs w:val="24"/>
        </w:rPr>
      </w:pPr>
      <w:r>
        <w:rPr>
          <w:szCs w:val="24"/>
        </w:rP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819"/>
        <w:tab w:val="right" w:pos="9638"/>
      </w:tabs>
      <w:spacing w:after="160" w:line="278" w:lineRule="auto"/>
      <w:rPr>
        <w:kern w:val="2"/>
        <w:sz w:val="22"/>
        <w:szCs w:val="24"/>
        <w:lang w:eastAsia="lt-LT"/>
      </w:rPr>
    </w:pPr>
    <w:r>
      <w:rPr>
        <w:kern w:val="2"/>
        <w:sz w:val="22"/>
        <w:szCs w:val="24"/>
        <w:lang w:eastAsia="lt-LT"/>
      </w:rPr>
      <w:fldChar w:fldCharType="begin"/>
    </w:r>
    <w:r>
      <w:rPr>
        <w:kern w:val="2"/>
        <w:sz w:val="22"/>
        <w:szCs w:val="24"/>
        <w:lang w:eastAsia="lt-LT"/>
      </w:rPr>
      <w:instrText xml:space="preserve">PAGE  </w:instrText>
    </w:r>
    <w:r>
      <w:rPr>
        <w:kern w:val="2"/>
        <w:sz w:val="22"/>
        <w:szCs w:val="24"/>
        <w:lang w:eastAsia="lt-LT"/>
      </w:rPr>
      <w:fldChar w:fldCharType="end"/>
    </w:r>
  </w:p>
  <w:p>
    <w:pPr>
      <w:tabs>
        <w:tab w:val="center" w:pos="4819"/>
        <w:tab w:val="right" w:pos="9638"/>
      </w:tabs>
      <w:spacing w:after="160" w:line="278" w:lineRule="auto"/>
      <w:rPr>
        <w:kern w:val="2"/>
        <w:sz w:val="22"/>
        <w:szCs w:val="24"/>
        <w:lang w:eastAsia="lt-LT"/>
      </w:rPr>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680"/>
        <w:tab w:val="right" w:pos="9360"/>
      </w:tabs>
      <w:spacing w:after="160" w:line="259" w:lineRule="auto"/>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5</w:t>
    </w:r>
    <w:r>
      <w:rPr>
        <w:sz w:val="22"/>
        <w:szCs w:val="22"/>
        <w:lang w:eastAsia="lt-LT"/>
      </w:rPr>
      <w:fldChar w:fldCharType="end"/>
    </w:r>
  </w:p>
  <w:p>
    <w:pPr>
      <w:tabs>
        <w:tab w:val="center" w:pos="4819"/>
        <w:tab w:val="right" w:pos="9638"/>
      </w:tabs>
      <w:spacing w:after="160" w:line="278" w:lineRule="auto"/>
      <w:rPr>
        <w:kern w:val="2"/>
        <w:sz w:val="22"/>
        <w:szCs w:val="24"/>
        <w:lang w:eastAsia="lt-LT"/>
      </w:rPr>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pacing w:after="160" w:line="278" w:lineRule="auto"/>
      <w:rPr>
        <w:kern w:val="2"/>
        <w:sz w:val="22"/>
        <w:szCs w:val="24"/>
        <w:lang w:eastAsia="lt-LT"/>
      </w:rPr>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819"/>
        <w:tab w:val="right" w:pos="9638"/>
      </w:tabs>
      <w:spacing w:after="160" w:line="278" w:lineRule="auto"/>
      <w:rPr>
        <w:kern w:val="2"/>
        <w:sz w:val="22"/>
        <w:szCs w:val="24"/>
        <w:lang w:eastAsia="lt-LT"/>
      </w:rPr>
    </w:pPr>
    <w:r>
      <w:rPr>
        <w:kern w:val="2"/>
        <w:sz w:val="22"/>
        <w:szCs w:val="24"/>
        <w:lang w:eastAsia="lt-LT"/>
      </w:rPr>
      <w:fldChar w:fldCharType="begin"/>
    </w:r>
    <w:r>
      <w:rPr>
        <w:kern w:val="2"/>
        <w:sz w:val="22"/>
        <w:szCs w:val="24"/>
        <w:lang w:eastAsia="lt-LT"/>
      </w:rPr>
      <w:instrText xml:space="preserve">PAGE  </w:instrText>
    </w:r>
    <w:r>
      <w:rPr>
        <w:kern w:val="2"/>
        <w:sz w:val="22"/>
        <w:szCs w:val="24"/>
        <w:lang w:eastAsia="lt-LT"/>
      </w:rPr>
      <w:fldChar w:fldCharType="end"/>
    </w:r>
  </w:p>
  <w:p>
    <w:pPr>
      <w:tabs>
        <w:tab w:val="center" w:pos="4819"/>
        <w:tab w:val="right" w:pos="9638"/>
      </w:tabs>
      <w:spacing w:after="160" w:line="278" w:lineRule="auto"/>
      <w:rPr>
        <w:kern w:val="2"/>
        <w:sz w:val="22"/>
        <w:szCs w:val="24"/>
        <w:lang w:eastAsia="lt-LT"/>
      </w:rPr>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680"/>
        <w:tab w:val="right" w:pos="9360"/>
      </w:tabs>
      <w:spacing w:after="160" w:line="259" w:lineRule="auto"/>
      <w:jc w:val="center"/>
      <w:rPr>
        <w:sz w:val="22"/>
        <w:szCs w:val="22"/>
        <w:lang w:eastAsia="lt-LT"/>
      </w:rPr>
    </w:pPr>
    <w:r>
      <w:rPr>
        <w:sz w:val="22"/>
        <w:szCs w:val="22"/>
        <w:lang w:eastAsia="lt-LT"/>
      </w:rPr>
      <w:fldChar w:fldCharType="begin"/>
    </w:r>
    <w:r>
      <w:rPr>
        <w:sz w:val="22"/>
        <w:szCs w:val="22"/>
        <w:lang w:eastAsia="lt-LT"/>
      </w:rPr>
      <w:instrText>PAGE   \* MERGEFORMAT</w:instrText>
    </w:r>
    <w:r>
      <w:rPr>
        <w:sz w:val="22"/>
        <w:szCs w:val="22"/>
        <w:lang w:eastAsia="lt-LT"/>
      </w:rPr>
      <w:fldChar w:fldCharType="separate"/>
    </w:r>
    <w:r>
      <w:rPr>
        <w:sz w:val="22"/>
        <w:szCs w:val="22"/>
        <w:lang w:eastAsia="lt-LT"/>
      </w:rPr>
      <w:t>8</w:t>
    </w:r>
    <w:r>
      <w:rPr>
        <w:sz w:val="22"/>
        <w:szCs w:val="22"/>
        <w:lang w:eastAsia="lt-LT"/>
      </w:rPr>
      <w:fldChar w:fldCharType="end"/>
    </w:r>
  </w:p>
  <w:p>
    <w:pPr>
      <w:tabs>
        <w:tab w:val="center" w:pos="4819"/>
        <w:tab w:val="right" w:pos="9638"/>
      </w:tabs>
      <w:spacing w:after="160" w:line="278" w:lineRule="auto"/>
      <w:rPr>
        <w:kern w:val="2"/>
        <w:sz w:val="22"/>
        <w:szCs w:val="24"/>
        <w:lang w:eastAsia="lt-LT"/>
      </w:rPr>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pacing w:after="160" w:line="278" w:lineRule="auto"/>
      <w:rPr>
        <w:kern w:val="2"/>
        <w:sz w:val="22"/>
        <w:szCs w:val="24"/>
        <w:lang w:eastAsia="lt-LT"/>
      </w:rPr>
    </w:pPr>
  </w:p>
</w:hdr>
</file>

<file path=word/people.xml><?xml version="1.0" encoding="utf-8"?>
<w15:people xmlns:w15="http://schemas.microsoft.com/office/word/2012/wordml" xmlns:mc="http://schemas.openxmlformats.org/markup-compatibility/2006" xmlns:w14="http://schemas.microsoft.com/office/word/2010/wordml" xmlns:w16se="http://schemas.microsoft.com/office/word/2015/wordml/symex" xmlns:wp14="http://schemas.microsoft.com/office/word/2010/wordprocessingDrawing" mc:Ignorable="w14 w15 w16se wp14">
  <w15:person w15:author="STALIŪNIENĖ Daiva">
    <w15:presenceInfo w15:providerId="AD" w15:userId="S-1-5-21-4015230268-3135662936-2741650420-20110"/>
  </w15:person>
</w15:people>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396"/>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B7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DC7C5"/>
  <w15:chartTrackingRefBased/>
  <w15:docId w15:val="{8CCB17D3-4483-4A4F-943E-78CFE4F1FB22}"/>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relyOnVML/>
  <w:allowPNG/>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image" Target="media/image2.emf"/>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2" Type="http://schemas.openxmlformats.org/officeDocument/2006/relationships/fontTable" Target="fontTable.xml"/>
  <Relationship Id="rId3" Type="http://schemas.openxmlformats.org/officeDocument/2006/relationships/footnotes" Target="footnotes.xml"/>
  <Relationship Id="rId4" Type="http://schemas.openxmlformats.org/officeDocument/2006/relationships/glossaryDocument" Target="glossary/document.xml"/>
  <Relationship Id="rId5" Type="http://schemas.microsoft.com/office/2011/relationships/people" Target="people.xml"/>
  <Relationship Id="rId6" Type="http://schemas.openxmlformats.org/officeDocument/2006/relationships/settings" Target="settings.xml"/>
  <Relationship Id="rId7" Type="http://schemas.openxmlformats.org/officeDocument/2006/relationships/styles" Target="styles.xml"/>
  <Relationship Id="rId8" Type="http://schemas.openxmlformats.org/officeDocument/2006/relationships/theme" Target="theme/theme1.xml"/>
  <Relationship Id="rId9" Type="http://schemas.openxmlformats.org/officeDocument/2006/relationships/webSettings" Target="webSettings.xml"/>
</Relationships>

</file>

<file path=word/glossary/_rels/document.xml.rels><?xml version="1.0" encoding="UTF-8"?>

<Relationships xmlns="http://schemas.openxmlformats.org/package/2006/relationships">
  <Relationship Id="rId1"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styles" Target="styles.xml"/>
  <Relationship Id="rId4" Type="http://schemas.openxmlformats.org/officeDocument/2006/relationships/webSettings" Target="webSettings.xml"/>
</Relationships>

</file>

<file path=word/glossary/document.xml><?xml version="1.0" encoding="utf-8"?>
<w:glossary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docParts>
    <w:docPart>
      <w:docPartPr>
        <w:name w:val="DefaultPlaceholder_-1854013440"/>
        <w:category>
          <w:name w:val="Bendrosios nuostatos"/>
          <w:gallery w:val="placeholder"/>
        </w:category>
        <w:types>
          <w:type w:val="bbPlcHdr"/>
        </w:types>
        <w:behaviors>
          <w:behavior w:val="content"/>
        </w:behaviors>
        <w:guid w:val="{F264221F-D467-4859-BC74-DB6D81289D7C}"/>
      </w:docPartPr>
      <w:docPartBody>
        <w:p>
          <w:r>
            <w:rPr>
              <w:rStyle w:val="Vietosrezervavimoenklotekstas"/>
            </w:rPr>
            <w:t>Norėdami įvesti tekstą, spustelėkite arba bakstelėkite čia.</w:t>
          </w:r>
        </w:p>
      </w:docPartBody>
    </w:docPart>
  </w:docParts>
</w:glossaryDocument>
</file>

<file path=word/glossary/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view w:val="normal"/>
  <w:revisionView w:inkAnnotation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AA6"/>
    <w:rsid w:val="000A5992"/>
    <w:rsid w:val="00163A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163AA6"/>
    <w:rPr>
      <w:color w:val="808080"/>
    </w:rPr>
  </w:style>
</w:styles>
</file>

<file path=word/glossary/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Template>Normal.dotm</Template>
  <TotalTime>15</TotalTime>
  <Pages>9</Pages>
  <Words>2323</Words>
  <Characters>17150</Characters>
  <Application>Microsoft Office Word</Application>
  <DocSecurity>0</DocSecurity>
  <Lines>142</Lines>
  <Paragraphs>38</Paragraphs>
  <ScaleCrop>false</ScaleCrop>
  <HeadingPairs>
    <vt:vector xmlns:vt="http://schemas.openxmlformats.org/officeDocument/2006/docPropsVTypes" size="2" baseType="variant">
      <vt:variant>
        <vt:lpstr>Pavadinimas</vt:lpstr>
      </vt:variant>
      <vt:variant>
        <vt:i4>1</vt:i4>
      </vt:variant>
    </vt:vector>
  </HeadingPairs>
  <TitlesOfParts>
    <vt:vector xmlns:vt="http://schemas.openxmlformats.org/officeDocument/2006/docPropsVTypes" size="1" baseType="lpstr">
      <vt:lpstr/>
    </vt:vector>
  </TitlesOfParts>
  <Company>MolSav</Company>
  <LinksUpToDate>false</LinksUpToDate>
  <CharactersWithSpaces>19435</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2025-03-28T13:46:00Z</dcterms:created>
  <dc:creator>Žalalienė Violeta</dc:creator>
  <lastModifiedBy>STALIŪNIENĖ Daiva</lastModifiedBy>
  <lastPrinted>2001-06-05T13:05:00Z</lastPrinted>
  <dcterms:modified xsi:type="dcterms:W3CDTF">2026-03-31T12:01:00Z</dcterms:modified>
  <revision>7</revision>
</coreProperties>
</file>